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443C76E6" w:rsidR="00812767" w:rsidRPr="006D0942" w:rsidRDefault="007B466D" w:rsidP="005B1814">
      <w:pPr>
        <w:jc w:val="both"/>
        <w:rPr>
          <w:rFonts w:ascii="Arial" w:hAnsi="Arial" w:cs="Arial"/>
          <w:b/>
          <w:bCs/>
          <w:sz w:val="22"/>
          <w:szCs w:val="22"/>
        </w:rPr>
      </w:pPr>
      <w:r>
        <w:rPr>
          <w:rFonts w:ascii="Arial" w:hAnsi="Arial"/>
          <w:b/>
          <w:sz w:val="22"/>
        </w:rPr>
        <w:t xml:space="preserve"> </w:t>
      </w:r>
    </w:p>
    <w:p w14:paraId="142C1418" w14:textId="7A0BA971" w:rsidR="00D27CAF" w:rsidRPr="0078437E" w:rsidRDefault="00D27CAF" w:rsidP="00F770DC">
      <w:pPr>
        <w:jc w:val="both"/>
        <w:rPr>
          <w:rFonts w:ascii="Arial" w:hAnsi="Arial" w:cs="Arial"/>
          <w:sz w:val="20"/>
          <w:szCs w:val="20"/>
          <w:lang w:val="en-US"/>
        </w:rPr>
      </w:pPr>
    </w:p>
    <w:p w14:paraId="7E3A711C" w14:textId="77777777" w:rsidR="00473929" w:rsidRPr="00986505" w:rsidRDefault="00473929" w:rsidP="00473929">
      <w:pPr>
        <w:rPr>
          <w:rFonts w:ascii="Arial" w:hAnsi="Arial" w:cs="Arial"/>
          <w:b/>
          <w:sz w:val="26"/>
          <w:szCs w:val="26"/>
        </w:rPr>
      </w:pPr>
      <w:r>
        <w:rPr>
          <w:rFonts w:ascii="Arial" w:hAnsi="Arial"/>
          <w:b/>
          <w:sz w:val="26"/>
        </w:rPr>
        <w:t xml:space="preserve"> </w:t>
      </w:r>
    </w:p>
    <w:p w14:paraId="2312405A" w14:textId="58FEAE0B" w:rsidR="00473929" w:rsidRPr="00986505" w:rsidRDefault="00473929" w:rsidP="00473929">
      <w:pPr>
        <w:rPr>
          <w:rFonts w:ascii="Arial" w:hAnsi="Arial" w:cs="Arial"/>
          <w:b/>
          <w:sz w:val="26"/>
          <w:szCs w:val="26"/>
        </w:rPr>
      </w:pPr>
      <w:r>
        <w:rPr>
          <w:rFonts w:ascii="Arial" w:hAnsi="Arial"/>
          <w:b/>
          <w:sz w:val="26"/>
        </w:rPr>
        <w:t>HOMI FASHION&amp;JEWELS: A STEADILY GROWING SUPPLY CHAIN, DESPITE ECONOMIC INSTABILITY</w:t>
      </w:r>
    </w:p>
    <w:p w14:paraId="36A12C5C" w14:textId="0E3B75DE" w:rsidR="00935903" w:rsidRPr="00721B9B" w:rsidRDefault="00935903" w:rsidP="00935903">
      <w:pPr>
        <w:rPr>
          <w:rFonts w:ascii="Arial" w:hAnsi="Arial" w:cs="Arial"/>
          <w:b/>
          <w:sz w:val="26"/>
          <w:szCs w:val="26"/>
          <w:lang w:val="en-US"/>
        </w:rPr>
      </w:pPr>
    </w:p>
    <w:p w14:paraId="7B9D4BA9" w14:textId="77777777" w:rsidR="00473929" w:rsidRPr="00986505" w:rsidRDefault="00473929" w:rsidP="00473929">
      <w:pPr>
        <w:jc w:val="both"/>
        <w:rPr>
          <w:rFonts w:ascii="Arial" w:hAnsi="Arial" w:cs="Arial"/>
          <w:i/>
          <w:sz w:val="22"/>
          <w:szCs w:val="22"/>
        </w:rPr>
      </w:pPr>
      <w:r>
        <w:rPr>
          <w:rFonts w:ascii="Arial" w:hAnsi="Arial"/>
          <w:i/>
          <w:sz w:val="22"/>
        </w:rPr>
        <w:t xml:space="preserve">HOMI </w:t>
      </w:r>
      <w:proofErr w:type="spellStart"/>
      <w:r>
        <w:rPr>
          <w:rFonts w:ascii="Arial" w:hAnsi="Arial"/>
          <w:i/>
          <w:sz w:val="22"/>
        </w:rPr>
        <w:t>Fashion&amp;Jewels</w:t>
      </w:r>
      <w:proofErr w:type="spellEnd"/>
      <w:r>
        <w:rPr>
          <w:rFonts w:ascii="Arial" w:hAnsi="Arial"/>
          <w:i/>
          <w:sz w:val="22"/>
        </w:rPr>
        <w:t xml:space="preserve"> Exhibition has been confirmed as a reference point for the fashion system, in an economic context with lower growth rates compared to the previous year, due to hyperinflation and the increasing prices of raw materials and energy.</w:t>
      </w:r>
    </w:p>
    <w:p w14:paraId="04136FDB" w14:textId="64080E5A" w:rsidR="00473929" w:rsidRPr="00721B9B" w:rsidRDefault="00473929" w:rsidP="00935903">
      <w:pPr>
        <w:jc w:val="both"/>
        <w:rPr>
          <w:rFonts w:ascii="Arial" w:hAnsi="Arial" w:cs="Arial"/>
          <w:sz w:val="22"/>
          <w:szCs w:val="22"/>
          <w:lang w:val="en-US"/>
        </w:rPr>
      </w:pPr>
    </w:p>
    <w:p w14:paraId="0AFB520E" w14:textId="6687A193" w:rsidR="00854130" w:rsidRPr="00721B9B" w:rsidRDefault="00854130" w:rsidP="00935903">
      <w:pPr>
        <w:jc w:val="both"/>
        <w:rPr>
          <w:rFonts w:ascii="Arial" w:hAnsi="Arial" w:cs="Arial"/>
          <w:sz w:val="22"/>
          <w:szCs w:val="22"/>
          <w:lang w:val="en-US"/>
        </w:rPr>
      </w:pPr>
    </w:p>
    <w:p w14:paraId="7C4E70F8" w14:textId="3F9933EF" w:rsidR="00854130" w:rsidRPr="000362B4" w:rsidRDefault="000362B4" w:rsidP="00935903">
      <w:pPr>
        <w:jc w:val="both"/>
        <w:rPr>
          <w:rFonts w:ascii="Arial" w:hAnsi="Arial" w:cs="Arial"/>
          <w:b/>
          <w:bCs/>
          <w:sz w:val="22"/>
          <w:szCs w:val="22"/>
        </w:rPr>
      </w:pPr>
      <w:r>
        <w:rPr>
          <w:rFonts w:ascii="Arial" w:hAnsi="Arial"/>
          <w:b/>
          <w:sz w:val="22"/>
        </w:rPr>
        <w:t xml:space="preserve">OVERVIEW </w:t>
      </w:r>
    </w:p>
    <w:p w14:paraId="31C90EF1" w14:textId="77777777" w:rsidR="00854130" w:rsidRPr="00986505" w:rsidRDefault="00854130" w:rsidP="00854130">
      <w:pPr>
        <w:jc w:val="both"/>
        <w:rPr>
          <w:rFonts w:ascii="Arial" w:hAnsi="Arial" w:cs="Arial"/>
          <w:sz w:val="22"/>
          <w:szCs w:val="22"/>
        </w:rPr>
      </w:pPr>
      <w:r>
        <w:rPr>
          <w:rFonts w:ascii="Arial" w:hAnsi="Arial"/>
          <w:sz w:val="22"/>
        </w:rPr>
        <w:t xml:space="preserve">After experiencing 18 months of robust growth (from early 2021 to mid-2022), the fashion industry is once again facing a difficult time. The fashion market, with the exclusion of the luxury sector, is going to struggle to deliver a significant growth in 2023.  McKinsey's analysis of fashion forecasts has predicted growing sales (though not exceeding +3 percent), weighed down by a contraction of the European market (which is expected to shrink between 1 and 4 percent). </w:t>
      </w:r>
    </w:p>
    <w:p w14:paraId="4595F1DD" w14:textId="7530C3A9" w:rsidR="00854130" w:rsidRPr="000362B4" w:rsidRDefault="00854130" w:rsidP="00854130">
      <w:pPr>
        <w:jc w:val="both"/>
        <w:rPr>
          <w:rFonts w:ascii="Arial" w:hAnsi="Arial" w:cs="Arial"/>
          <w:i/>
          <w:iCs/>
          <w:sz w:val="20"/>
          <w:szCs w:val="20"/>
        </w:rPr>
      </w:pPr>
      <w:r>
        <w:rPr>
          <w:rFonts w:ascii="Arial" w:hAnsi="Arial"/>
          <w:sz w:val="22"/>
        </w:rPr>
        <w:t xml:space="preserve">China and the US are expected to fare better, growing between 2 and 7 percent and between 1 and 6 percent, respectively. </w:t>
      </w:r>
      <w:r w:rsidRPr="00721B9B">
        <w:rPr>
          <w:rFonts w:ascii="Arial" w:hAnsi="Arial"/>
          <w:sz w:val="22"/>
          <w:szCs w:val="22"/>
        </w:rPr>
        <w:t xml:space="preserve">Europe, on the other hand, is under high pressure from currency rates and a growing energy crisis, which are likely to result in modest sales growth </w:t>
      </w:r>
      <w:r>
        <w:rPr>
          <w:rFonts w:ascii="Arial" w:hAnsi="Arial"/>
          <w:i/>
          <w:sz w:val="20"/>
        </w:rPr>
        <w:t xml:space="preserve">(data: The State of Fashion 2023. </w:t>
      </w:r>
      <w:proofErr w:type="spellStart"/>
      <w:r>
        <w:rPr>
          <w:rFonts w:ascii="Arial" w:hAnsi="Arial"/>
          <w:i/>
          <w:sz w:val="20"/>
        </w:rPr>
        <w:t>Mckinsey</w:t>
      </w:r>
      <w:proofErr w:type="spellEnd"/>
      <w:r>
        <w:rPr>
          <w:rFonts w:ascii="Arial" w:hAnsi="Arial"/>
          <w:i/>
          <w:sz w:val="20"/>
        </w:rPr>
        <w:t xml:space="preserve"> Fashion Report: Predictions for 2023_5 December 2022)</w:t>
      </w:r>
    </w:p>
    <w:p w14:paraId="01F5BA39" w14:textId="4AF5D581" w:rsidR="00854130" w:rsidRPr="00721B9B" w:rsidRDefault="00854130" w:rsidP="00935903">
      <w:pPr>
        <w:jc w:val="both"/>
        <w:rPr>
          <w:rFonts w:ascii="Arial" w:hAnsi="Arial" w:cs="Arial"/>
          <w:i/>
          <w:iCs/>
          <w:sz w:val="20"/>
          <w:szCs w:val="20"/>
          <w:lang w:val="en-US"/>
        </w:rPr>
      </w:pPr>
    </w:p>
    <w:p w14:paraId="4D2B0F0A" w14:textId="7EFC472D" w:rsidR="00854130" w:rsidRPr="00721B9B" w:rsidRDefault="00854130" w:rsidP="00935903">
      <w:pPr>
        <w:jc w:val="both"/>
        <w:rPr>
          <w:rFonts w:ascii="Arial" w:hAnsi="Arial" w:cs="Arial"/>
          <w:sz w:val="22"/>
          <w:szCs w:val="22"/>
          <w:lang w:val="en-US"/>
        </w:rPr>
      </w:pPr>
    </w:p>
    <w:p w14:paraId="4A96B3B3" w14:textId="4376FE18" w:rsidR="00BE4B79" w:rsidRPr="000362B4" w:rsidRDefault="00BE4B79" w:rsidP="000362B4">
      <w:pPr>
        <w:keepNext/>
        <w:keepLines/>
        <w:spacing w:before="240" w:after="113"/>
        <w:jc w:val="both"/>
        <w:rPr>
          <w:rFonts w:ascii="Arial" w:eastAsia="Helvetica Neue" w:hAnsi="Arial" w:cs="Arial"/>
          <w:i/>
          <w:iCs/>
          <w:sz w:val="20"/>
          <w:szCs w:val="20"/>
        </w:rPr>
      </w:pPr>
      <w:r>
        <w:rPr>
          <w:rFonts w:ascii="Arial" w:hAnsi="Arial"/>
          <w:b/>
          <w:sz w:val="22"/>
        </w:rPr>
        <w:t xml:space="preserve">PRODUCTION AND DOMESTIC DEMAND IN ITALY </w:t>
      </w:r>
      <w:r>
        <w:rPr>
          <w:rFonts w:ascii="Arial" w:hAnsi="Arial"/>
          <w:sz w:val="22"/>
        </w:rPr>
        <w:t>(</w:t>
      </w:r>
      <w:r>
        <w:rPr>
          <w:rFonts w:ascii="Arial" w:hAnsi="Arial"/>
          <w:i/>
          <w:sz w:val="20"/>
        </w:rPr>
        <w:t xml:space="preserve">data source: </w:t>
      </w:r>
      <w:proofErr w:type="spellStart"/>
      <w:r>
        <w:rPr>
          <w:rFonts w:ascii="Arial" w:hAnsi="Arial"/>
          <w:i/>
          <w:sz w:val="20"/>
        </w:rPr>
        <w:t>Expoplanning</w:t>
      </w:r>
      <w:proofErr w:type="spellEnd"/>
      <w:r>
        <w:rPr>
          <w:rFonts w:ascii="Arial" w:hAnsi="Arial"/>
          <w:i/>
          <w:sz w:val="20"/>
        </w:rPr>
        <w:t xml:space="preserve"> platform)</w:t>
      </w:r>
    </w:p>
    <w:p w14:paraId="1278B717" w14:textId="77777777" w:rsidR="00BE4B79" w:rsidRPr="00986505" w:rsidRDefault="00BE4B79" w:rsidP="000362B4">
      <w:pPr>
        <w:spacing w:after="113"/>
        <w:jc w:val="both"/>
        <w:rPr>
          <w:rFonts w:ascii="Arial" w:eastAsia="Helvetica Neue" w:hAnsi="Arial" w:cs="Arial"/>
          <w:sz w:val="22"/>
          <w:szCs w:val="22"/>
        </w:rPr>
      </w:pPr>
      <w:r>
        <w:rPr>
          <w:rFonts w:ascii="Arial" w:hAnsi="Arial"/>
          <w:sz w:val="22"/>
        </w:rPr>
        <w:t xml:space="preserve">By the end of 2022, </w:t>
      </w:r>
      <w:r>
        <w:rPr>
          <w:rFonts w:ascii="Arial" w:hAnsi="Arial"/>
          <w:b/>
          <w:sz w:val="22"/>
        </w:rPr>
        <w:t>Italian production</w:t>
      </w:r>
      <w:r>
        <w:rPr>
          <w:rFonts w:ascii="Arial" w:hAnsi="Arial"/>
          <w:sz w:val="22"/>
        </w:rPr>
        <w:t xml:space="preserve"> in the </w:t>
      </w:r>
      <w:r>
        <w:rPr>
          <w:rFonts w:ascii="Arial" w:hAnsi="Arial"/>
          <w:b/>
          <w:sz w:val="22"/>
        </w:rPr>
        <w:t>Fashion &amp; Bijoux</w:t>
      </w:r>
      <w:r>
        <w:rPr>
          <w:rFonts w:ascii="Arial" w:hAnsi="Arial"/>
          <w:sz w:val="22"/>
        </w:rPr>
        <w:t xml:space="preserve"> supply chain is expected to be worth over </w:t>
      </w:r>
      <w:r>
        <w:rPr>
          <w:rFonts w:ascii="Arial" w:hAnsi="Arial"/>
          <w:b/>
          <w:bCs/>
          <w:sz w:val="22"/>
        </w:rPr>
        <w:t>€</w:t>
      </w:r>
      <w:r>
        <w:rPr>
          <w:rFonts w:ascii="Arial" w:hAnsi="Arial"/>
          <w:b/>
          <w:sz w:val="22"/>
        </w:rPr>
        <w:t>6 billion</w:t>
      </w:r>
      <w:r>
        <w:rPr>
          <w:rFonts w:ascii="Arial" w:hAnsi="Arial"/>
          <w:sz w:val="22"/>
        </w:rPr>
        <w:t xml:space="preserve">. These levels, thanks to the aforementioned supply chain inflation, exceed those of 2021 by 12 percent and by a good 25 points compared to the pre-pandemic period (when Italian production was worth over €4.8 billion in this supply chain). </w:t>
      </w:r>
    </w:p>
    <w:p w14:paraId="3C14B7C3" w14:textId="77777777" w:rsidR="00BE4B79" w:rsidRPr="00986505" w:rsidRDefault="00BE4B79" w:rsidP="000362B4">
      <w:pPr>
        <w:spacing w:after="113"/>
        <w:jc w:val="both"/>
        <w:rPr>
          <w:rFonts w:ascii="Arial" w:eastAsia="Helvetica Neue" w:hAnsi="Arial" w:cs="Arial"/>
          <w:sz w:val="22"/>
          <w:szCs w:val="22"/>
        </w:rPr>
      </w:pPr>
      <w:r>
        <w:rPr>
          <w:rFonts w:ascii="Arial" w:hAnsi="Arial"/>
          <w:sz w:val="22"/>
        </w:rPr>
        <w:t xml:space="preserve">Italy's domestic demand, expressed in terms of </w:t>
      </w:r>
      <w:r>
        <w:rPr>
          <w:rFonts w:ascii="Arial" w:hAnsi="Arial"/>
          <w:b/>
          <w:sz w:val="22"/>
        </w:rPr>
        <w:t>(apparent) consumption</w:t>
      </w:r>
      <w:r>
        <w:rPr>
          <w:rFonts w:ascii="Arial" w:hAnsi="Arial"/>
          <w:sz w:val="22"/>
        </w:rPr>
        <w:t xml:space="preserve">, for products of the </w:t>
      </w:r>
      <w:r>
        <w:rPr>
          <w:rFonts w:ascii="Arial" w:hAnsi="Arial"/>
          <w:b/>
          <w:sz w:val="22"/>
        </w:rPr>
        <w:t>Fashion &amp; Bijoux</w:t>
      </w:r>
      <w:r>
        <w:rPr>
          <w:rFonts w:ascii="Arial" w:hAnsi="Arial"/>
          <w:sz w:val="22"/>
        </w:rPr>
        <w:t xml:space="preserve"> supply chain, is estimated to close the year at </w:t>
      </w:r>
      <w:r>
        <w:rPr>
          <w:rFonts w:ascii="Arial" w:hAnsi="Arial"/>
          <w:b/>
          <w:bCs/>
          <w:sz w:val="22"/>
        </w:rPr>
        <w:t>€</w:t>
      </w:r>
      <w:r>
        <w:rPr>
          <w:rFonts w:ascii="Arial" w:hAnsi="Arial"/>
          <w:b/>
          <w:sz w:val="22"/>
        </w:rPr>
        <w:t>3.6 billion</w:t>
      </w:r>
      <w:r>
        <w:rPr>
          <w:rFonts w:ascii="Arial" w:hAnsi="Arial"/>
          <w:sz w:val="22"/>
        </w:rPr>
        <w:t xml:space="preserve">, up by no less than 18 pp compared to 2021 and about 34 pp compared to 2019 levels. </w:t>
      </w:r>
    </w:p>
    <w:p w14:paraId="34D9A7A8" w14:textId="77777777" w:rsidR="00BE4B79" w:rsidRPr="00721B9B" w:rsidRDefault="00BE4B79" w:rsidP="000362B4">
      <w:pPr>
        <w:jc w:val="both"/>
        <w:rPr>
          <w:rFonts w:ascii="Arial" w:hAnsi="Arial" w:cs="Arial"/>
          <w:sz w:val="22"/>
          <w:szCs w:val="22"/>
          <w:lang w:val="en-US"/>
        </w:rPr>
      </w:pPr>
    </w:p>
    <w:p w14:paraId="45F02DCE" w14:textId="46E55758" w:rsidR="000362B4" w:rsidRPr="000362B4" w:rsidRDefault="00BE4B79" w:rsidP="000362B4">
      <w:pPr>
        <w:keepNext/>
        <w:keepLines/>
        <w:spacing w:before="240" w:after="113"/>
        <w:jc w:val="both"/>
        <w:rPr>
          <w:rFonts w:ascii="Arial" w:eastAsia="Helvetica Neue" w:hAnsi="Arial" w:cs="Arial"/>
          <w:i/>
          <w:iCs/>
          <w:sz w:val="20"/>
          <w:szCs w:val="20"/>
        </w:rPr>
      </w:pPr>
      <w:r>
        <w:rPr>
          <w:rFonts w:ascii="Arial" w:hAnsi="Arial"/>
          <w:b/>
          <w:color w:val="000000"/>
          <w:sz w:val="22"/>
        </w:rPr>
        <w:t>ITALY’S FOREIGN TRADE</w:t>
      </w:r>
      <w:r>
        <w:rPr>
          <w:rFonts w:ascii="Arial" w:hAnsi="Arial"/>
          <w:i/>
          <w:sz w:val="20"/>
        </w:rPr>
        <w:t xml:space="preserve"> (data source: </w:t>
      </w:r>
      <w:proofErr w:type="spellStart"/>
      <w:r>
        <w:rPr>
          <w:rFonts w:ascii="Arial" w:hAnsi="Arial"/>
          <w:i/>
          <w:sz w:val="20"/>
        </w:rPr>
        <w:t>Expoplanning</w:t>
      </w:r>
      <w:proofErr w:type="spellEnd"/>
      <w:r>
        <w:rPr>
          <w:rFonts w:ascii="Arial" w:hAnsi="Arial"/>
          <w:i/>
          <w:sz w:val="20"/>
        </w:rPr>
        <w:t xml:space="preserve"> platform)</w:t>
      </w:r>
    </w:p>
    <w:p w14:paraId="22474F3A" w14:textId="77777777" w:rsidR="00BE4B79" w:rsidRPr="00986505" w:rsidRDefault="00BE4B79" w:rsidP="000362B4">
      <w:pPr>
        <w:spacing w:after="113"/>
        <w:jc w:val="both"/>
        <w:rPr>
          <w:rFonts w:ascii="Arial" w:eastAsia="Helvetica Neue" w:hAnsi="Arial" w:cs="Arial"/>
          <w:sz w:val="22"/>
          <w:szCs w:val="22"/>
        </w:rPr>
      </w:pPr>
      <w:r>
        <w:rPr>
          <w:rFonts w:ascii="Arial" w:hAnsi="Arial"/>
          <w:sz w:val="22"/>
        </w:rPr>
        <w:t xml:space="preserve">After a particularly favourable 2021 (closed with a growth of 31.3 percent in Euro values), </w:t>
      </w:r>
      <w:r>
        <w:rPr>
          <w:rFonts w:ascii="Arial" w:hAnsi="Arial"/>
          <w:b/>
          <w:sz w:val="22"/>
        </w:rPr>
        <w:t>Italian exports</w:t>
      </w:r>
      <w:r>
        <w:rPr>
          <w:rFonts w:ascii="Arial" w:hAnsi="Arial"/>
          <w:sz w:val="22"/>
        </w:rPr>
        <w:t xml:space="preserve"> of </w:t>
      </w:r>
      <w:r>
        <w:rPr>
          <w:rFonts w:ascii="Arial" w:hAnsi="Arial"/>
          <w:b/>
          <w:sz w:val="22"/>
        </w:rPr>
        <w:t>Fashion &amp; Bijoux</w:t>
      </w:r>
      <w:r>
        <w:rPr>
          <w:rFonts w:ascii="Arial" w:hAnsi="Arial"/>
          <w:sz w:val="22"/>
        </w:rPr>
        <w:t xml:space="preserve"> products confirmed favourable dynamics, although less accelerated (+10.7 percent), throughout 2022, to exceed the amount of </w:t>
      </w:r>
      <w:r>
        <w:rPr>
          <w:rFonts w:ascii="Arial" w:hAnsi="Arial"/>
          <w:b/>
          <w:bCs/>
          <w:sz w:val="22"/>
        </w:rPr>
        <w:t>€</w:t>
      </w:r>
      <w:r>
        <w:rPr>
          <w:rFonts w:ascii="Arial" w:hAnsi="Arial"/>
          <w:b/>
          <w:sz w:val="22"/>
        </w:rPr>
        <w:t xml:space="preserve">4.5 billion </w:t>
      </w:r>
      <w:r>
        <w:rPr>
          <w:rFonts w:ascii="Arial" w:hAnsi="Arial"/>
          <w:sz w:val="22"/>
        </w:rPr>
        <w:t xml:space="preserve">for the first time at the end of the year. More specifically, the greater share of Italian exports in this sector is </w:t>
      </w:r>
      <w:r>
        <w:rPr>
          <w:rFonts w:ascii="Arial" w:hAnsi="Arial"/>
          <w:b/>
          <w:bCs/>
          <w:sz w:val="22"/>
        </w:rPr>
        <w:lastRenderedPageBreak/>
        <w:t>Fashion Accessories</w:t>
      </w:r>
      <w:r>
        <w:rPr>
          <w:rFonts w:ascii="Arial" w:hAnsi="Arial"/>
          <w:sz w:val="22"/>
        </w:rPr>
        <w:t xml:space="preserve">, with a 2022 (pre-estimates) value of </w:t>
      </w:r>
      <w:r>
        <w:rPr>
          <w:rFonts w:ascii="Arial" w:hAnsi="Arial"/>
          <w:b/>
          <w:bCs/>
          <w:sz w:val="22"/>
        </w:rPr>
        <w:t>over €2.9 billion</w:t>
      </w:r>
      <w:r>
        <w:rPr>
          <w:rFonts w:ascii="Arial" w:hAnsi="Arial"/>
          <w:sz w:val="22"/>
        </w:rPr>
        <w:t xml:space="preserve">, up by 8.6 percent compared to 2021. Italian </w:t>
      </w:r>
      <w:r>
        <w:rPr>
          <w:rFonts w:ascii="Arial" w:hAnsi="Arial"/>
          <w:b/>
          <w:bCs/>
          <w:sz w:val="22"/>
        </w:rPr>
        <w:t>Costume Jewellery</w:t>
      </w:r>
      <w:r>
        <w:rPr>
          <w:rFonts w:ascii="Arial" w:hAnsi="Arial"/>
          <w:sz w:val="22"/>
        </w:rPr>
        <w:t xml:space="preserve"> exports are also expected to close the year with a new all-time high of </w:t>
      </w:r>
      <w:r>
        <w:rPr>
          <w:rFonts w:ascii="Arial" w:hAnsi="Arial"/>
          <w:b/>
          <w:bCs/>
          <w:sz w:val="22"/>
        </w:rPr>
        <w:t>€1,603 million</w:t>
      </w:r>
      <w:r>
        <w:rPr>
          <w:rFonts w:ascii="Arial" w:hAnsi="Arial"/>
          <w:sz w:val="22"/>
        </w:rPr>
        <w:t xml:space="preserve"> (+14.7% compared to 2021), also due to price increases. </w:t>
      </w:r>
    </w:p>
    <w:p w14:paraId="24B72DBA" w14:textId="77777777" w:rsidR="00BE4B79" w:rsidRPr="00721B9B" w:rsidRDefault="00BE4B79" w:rsidP="000362B4">
      <w:pPr>
        <w:jc w:val="both"/>
        <w:rPr>
          <w:rFonts w:ascii="Arial" w:hAnsi="Arial" w:cs="Arial"/>
          <w:sz w:val="22"/>
          <w:szCs w:val="22"/>
          <w:lang w:val="en-US"/>
        </w:rPr>
      </w:pPr>
    </w:p>
    <w:p w14:paraId="22620141" w14:textId="77777777" w:rsidR="00BE4B79" w:rsidRPr="00986505" w:rsidRDefault="00BE4B79" w:rsidP="000362B4">
      <w:pPr>
        <w:spacing w:after="113"/>
        <w:jc w:val="both"/>
        <w:rPr>
          <w:rFonts w:ascii="Arial" w:eastAsia="Helvetica Neue" w:hAnsi="Arial" w:cs="Arial"/>
          <w:sz w:val="22"/>
          <w:szCs w:val="22"/>
        </w:rPr>
      </w:pPr>
      <w:r>
        <w:rPr>
          <w:rFonts w:ascii="Arial" w:hAnsi="Arial"/>
          <w:sz w:val="22"/>
        </w:rPr>
        <w:t>In</w:t>
      </w:r>
      <w:r>
        <w:rPr>
          <w:rFonts w:ascii="Arial" w:hAnsi="Arial"/>
          <w:b/>
          <w:sz w:val="22"/>
        </w:rPr>
        <w:t xml:space="preserve"> 2023</w:t>
      </w:r>
      <w:r>
        <w:rPr>
          <w:rFonts w:ascii="Arial" w:hAnsi="Arial"/>
          <w:sz w:val="22"/>
        </w:rPr>
        <w:t xml:space="preserve">, Italian exports of </w:t>
      </w:r>
      <w:r>
        <w:rPr>
          <w:rFonts w:ascii="Arial" w:hAnsi="Arial"/>
          <w:b/>
          <w:sz w:val="22"/>
        </w:rPr>
        <w:t>Fashion &amp; Bijoux</w:t>
      </w:r>
      <w:r>
        <w:rPr>
          <w:rFonts w:ascii="Arial" w:hAnsi="Arial"/>
          <w:sz w:val="22"/>
        </w:rPr>
        <w:t xml:space="preserve"> products are expected to grow at an average annual growth rate </w:t>
      </w:r>
      <w:r>
        <w:rPr>
          <w:rFonts w:ascii="Arial" w:hAnsi="Arial"/>
          <w:b/>
          <w:sz w:val="22"/>
        </w:rPr>
        <w:t>(CAGR</w:t>
      </w:r>
      <w:r>
        <w:rPr>
          <w:rFonts w:ascii="Arial" w:hAnsi="Arial"/>
          <w:sz w:val="22"/>
        </w:rPr>
        <w:t xml:space="preserve">) of </w:t>
      </w:r>
      <w:r>
        <w:rPr>
          <w:rFonts w:ascii="Arial" w:hAnsi="Arial"/>
          <w:b/>
          <w:sz w:val="22"/>
        </w:rPr>
        <w:t>11.4% in Euro values</w:t>
      </w:r>
      <w:r>
        <w:rPr>
          <w:rFonts w:ascii="Arial" w:hAnsi="Arial"/>
          <w:sz w:val="22"/>
        </w:rPr>
        <w:t xml:space="preserve">, bringing the total value of our exports to over €5 billion. In the following three-year period </w:t>
      </w:r>
      <w:r>
        <w:rPr>
          <w:rFonts w:ascii="Arial" w:hAnsi="Arial"/>
          <w:b/>
          <w:sz w:val="22"/>
        </w:rPr>
        <w:t>(2024-2026</w:t>
      </w:r>
      <w:r>
        <w:rPr>
          <w:rFonts w:ascii="Arial" w:hAnsi="Arial"/>
          <w:sz w:val="22"/>
        </w:rPr>
        <w:t xml:space="preserve">), considering the possible 'normalisation' of prices in the supply chain, the growth rate is expected to be only slightly less accelerated (CAGR: +7.9% in Euro values), bringing the sector's exports to a value of around </w:t>
      </w:r>
      <w:r>
        <w:rPr>
          <w:rFonts w:ascii="Arial" w:hAnsi="Arial"/>
          <w:b/>
          <w:bCs/>
          <w:sz w:val="22"/>
        </w:rPr>
        <w:t>€</w:t>
      </w:r>
      <w:r>
        <w:rPr>
          <w:rFonts w:ascii="Arial" w:hAnsi="Arial"/>
          <w:b/>
          <w:sz w:val="22"/>
        </w:rPr>
        <w:t>6.3 billion</w:t>
      </w:r>
      <w:r>
        <w:rPr>
          <w:rFonts w:ascii="Arial" w:hAnsi="Arial"/>
          <w:sz w:val="22"/>
        </w:rPr>
        <w:t xml:space="preserve"> at the end of the forecast horizon.  </w:t>
      </w:r>
    </w:p>
    <w:p w14:paraId="24D6D56F" w14:textId="77777777" w:rsidR="00BE4B79" w:rsidRPr="00721B9B" w:rsidRDefault="00BE4B79" w:rsidP="000362B4">
      <w:pPr>
        <w:jc w:val="both"/>
        <w:rPr>
          <w:rFonts w:ascii="Arial" w:hAnsi="Arial" w:cs="Arial"/>
          <w:sz w:val="22"/>
          <w:szCs w:val="22"/>
          <w:lang w:val="en-US"/>
        </w:rPr>
      </w:pPr>
    </w:p>
    <w:p w14:paraId="36969B9D" w14:textId="77777777" w:rsidR="000362B4" w:rsidRPr="000362B4" w:rsidRDefault="00986505" w:rsidP="000362B4">
      <w:pPr>
        <w:keepNext/>
        <w:keepLines/>
        <w:spacing w:before="240" w:after="113"/>
        <w:jc w:val="both"/>
        <w:rPr>
          <w:rFonts w:ascii="Arial" w:eastAsia="Helvetica Neue" w:hAnsi="Arial" w:cs="Arial"/>
          <w:i/>
          <w:iCs/>
          <w:sz w:val="20"/>
          <w:szCs w:val="20"/>
        </w:rPr>
      </w:pPr>
      <w:r>
        <w:rPr>
          <w:rFonts w:ascii="Arial" w:hAnsi="Arial"/>
          <w:b/>
          <w:color w:val="000000"/>
          <w:sz w:val="22"/>
        </w:rPr>
        <w:t>WORLD TRADE</w:t>
      </w:r>
      <w:r>
        <w:rPr>
          <w:rFonts w:ascii="Arial" w:hAnsi="Arial"/>
        </w:rPr>
        <w:t xml:space="preserve"> (</w:t>
      </w:r>
      <w:r>
        <w:rPr>
          <w:rFonts w:ascii="Arial" w:hAnsi="Arial"/>
          <w:i/>
          <w:sz w:val="20"/>
        </w:rPr>
        <w:t xml:space="preserve">data source: </w:t>
      </w:r>
      <w:proofErr w:type="spellStart"/>
      <w:r>
        <w:rPr>
          <w:rFonts w:ascii="Arial" w:hAnsi="Arial"/>
          <w:i/>
          <w:sz w:val="20"/>
        </w:rPr>
        <w:t>Expoplanning</w:t>
      </w:r>
      <w:proofErr w:type="spellEnd"/>
      <w:r>
        <w:rPr>
          <w:rFonts w:ascii="Arial" w:hAnsi="Arial"/>
          <w:i/>
          <w:sz w:val="20"/>
        </w:rPr>
        <w:t xml:space="preserve"> platform)</w:t>
      </w:r>
    </w:p>
    <w:p w14:paraId="57B3B4EE" w14:textId="77777777" w:rsidR="00854130" w:rsidRPr="00986505" w:rsidRDefault="00854130" w:rsidP="000362B4">
      <w:pPr>
        <w:spacing w:after="113"/>
        <w:jc w:val="both"/>
        <w:rPr>
          <w:rFonts w:ascii="Arial" w:eastAsia="Helvetica Neue" w:hAnsi="Arial" w:cs="Arial"/>
          <w:sz w:val="22"/>
          <w:szCs w:val="22"/>
        </w:rPr>
      </w:pPr>
      <w:r>
        <w:rPr>
          <w:rFonts w:ascii="Arial" w:hAnsi="Arial"/>
          <w:sz w:val="22"/>
        </w:rPr>
        <w:t xml:space="preserve">After a very favourable 2021 (+32.5 percent compared to 2020 in Euro values), at the end of 2022, according to </w:t>
      </w:r>
      <w:proofErr w:type="spellStart"/>
      <w:r>
        <w:rPr>
          <w:rFonts w:ascii="Arial" w:hAnsi="Arial"/>
          <w:sz w:val="22"/>
        </w:rPr>
        <w:t>ExportPlanning</w:t>
      </w:r>
      <w:proofErr w:type="spellEnd"/>
      <w:r>
        <w:rPr>
          <w:rFonts w:ascii="Arial" w:hAnsi="Arial"/>
          <w:sz w:val="22"/>
        </w:rPr>
        <w:t xml:space="preserve"> pre-estimates, world trade </w:t>
      </w:r>
      <w:r>
        <w:rPr>
          <w:rFonts w:ascii="Arial" w:hAnsi="Arial"/>
          <w:b/>
          <w:sz w:val="22"/>
        </w:rPr>
        <w:t>Fashion &amp; Bijoux</w:t>
      </w:r>
      <w:r>
        <w:rPr>
          <w:rFonts w:ascii="Arial" w:hAnsi="Arial"/>
          <w:sz w:val="22"/>
        </w:rPr>
        <w:t xml:space="preserve"> products are expected to exceed </w:t>
      </w:r>
      <w:r>
        <w:rPr>
          <w:rFonts w:ascii="Arial" w:hAnsi="Arial"/>
          <w:b/>
          <w:sz w:val="22"/>
        </w:rPr>
        <w:t>€64 billion</w:t>
      </w:r>
      <w:r>
        <w:rPr>
          <w:rFonts w:ascii="Arial" w:hAnsi="Arial"/>
          <w:sz w:val="22"/>
        </w:rPr>
        <w:t xml:space="preserve">, a new all-time high. The average annual growth reached +11.1 percent in Euro values this year, but with very different trends between the two sectors considered. </w:t>
      </w:r>
    </w:p>
    <w:p w14:paraId="1DD164CB" w14:textId="77777777" w:rsidR="00854130" w:rsidRPr="00986505" w:rsidRDefault="00854130" w:rsidP="000362B4">
      <w:pPr>
        <w:spacing w:before="200" w:after="113"/>
        <w:jc w:val="both"/>
        <w:rPr>
          <w:rFonts w:ascii="Arial" w:eastAsia="Helvetica Neue" w:hAnsi="Arial" w:cs="Arial"/>
          <w:sz w:val="22"/>
          <w:szCs w:val="22"/>
        </w:rPr>
      </w:pPr>
      <w:r>
        <w:rPr>
          <w:rFonts w:ascii="Arial" w:hAnsi="Arial"/>
          <w:sz w:val="22"/>
        </w:rPr>
        <w:t xml:space="preserve">A less accelerated growth rate is expected in </w:t>
      </w:r>
      <w:r>
        <w:rPr>
          <w:rFonts w:ascii="Arial" w:hAnsi="Arial"/>
          <w:b/>
          <w:sz w:val="22"/>
        </w:rPr>
        <w:t>2023</w:t>
      </w:r>
      <w:r>
        <w:rPr>
          <w:rFonts w:ascii="Arial" w:hAnsi="Arial"/>
          <w:sz w:val="22"/>
        </w:rPr>
        <w:t xml:space="preserve"> due to a probable 'normalization' of prices in the supply chain and a progressive slowdown in the global economy: </w:t>
      </w:r>
      <w:r>
        <w:rPr>
          <w:rFonts w:ascii="Arial" w:hAnsi="Arial"/>
          <w:b/>
          <w:sz w:val="22"/>
        </w:rPr>
        <w:t>+7.7 per cent in Euro values</w:t>
      </w:r>
      <w:r>
        <w:rPr>
          <w:rFonts w:ascii="Arial" w:hAnsi="Arial"/>
          <w:sz w:val="22"/>
        </w:rPr>
        <w:t xml:space="preserve">, with more consistent trends between the two sectors considered. A further decelerating average annual growth rate </w:t>
      </w:r>
      <w:r>
        <w:rPr>
          <w:rFonts w:ascii="Arial" w:hAnsi="Arial"/>
          <w:b/>
          <w:sz w:val="22"/>
        </w:rPr>
        <w:t>(CAGR</w:t>
      </w:r>
      <w:r>
        <w:rPr>
          <w:rFonts w:ascii="Arial" w:hAnsi="Arial"/>
          <w:sz w:val="22"/>
        </w:rPr>
        <w:t>)</w:t>
      </w:r>
      <w:r>
        <w:rPr>
          <w:rFonts w:ascii="Arial" w:hAnsi="Arial"/>
          <w:b/>
          <w:sz w:val="22"/>
        </w:rPr>
        <w:t xml:space="preserve"> </w:t>
      </w:r>
      <w:r>
        <w:rPr>
          <w:rFonts w:ascii="Arial" w:hAnsi="Arial"/>
          <w:sz w:val="22"/>
        </w:rPr>
        <w:t xml:space="preserve">of +5.2 per cent in Euro values is expected in the following three-year period </w:t>
      </w:r>
      <w:r>
        <w:rPr>
          <w:rFonts w:ascii="Arial" w:hAnsi="Arial"/>
          <w:b/>
          <w:sz w:val="22"/>
        </w:rPr>
        <w:t>(2024-2026</w:t>
      </w:r>
      <w:r>
        <w:rPr>
          <w:rFonts w:ascii="Arial" w:hAnsi="Arial"/>
          <w:sz w:val="22"/>
        </w:rPr>
        <w:t xml:space="preserve">), when world trade in </w:t>
      </w:r>
      <w:r>
        <w:rPr>
          <w:rFonts w:ascii="Arial" w:hAnsi="Arial"/>
          <w:b/>
          <w:sz w:val="22"/>
        </w:rPr>
        <w:t xml:space="preserve">Fashion &amp; Bijoux </w:t>
      </w:r>
      <w:r>
        <w:rPr>
          <w:rFonts w:ascii="Arial" w:hAnsi="Arial"/>
          <w:sz w:val="22"/>
        </w:rPr>
        <w:t xml:space="preserve">products are expected to reach </w:t>
      </w:r>
      <w:r>
        <w:rPr>
          <w:rFonts w:ascii="Arial" w:hAnsi="Arial"/>
          <w:b/>
          <w:sz w:val="22"/>
        </w:rPr>
        <w:t xml:space="preserve">€80 billion </w:t>
      </w:r>
      <w:r>
        <w:rPr>
          <w:rFonts w:ascii="Arial" w:hAnsi="Arial"/>
          <w:sz w:val="22"/>
        </w:rPr>
        <w:t xml:space="preserve">at the end of the forecast horizon. </w:t>
      </w:r>
    </w:p>
    <w:sectPr w:rsidR="00854130" w:rsidRPr="00986505"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A6934" w14:textId="77777777" w:rsidR="0004714E" w:rsidRDefault="0004714E" w:rsidP="004214F0">
      <w:r>
        <w:separator/>
      </w:r>
    </w:p>
  </w:endnote>
  <w:endnote w:type="continuationSeparator" w:id="0">
    <w:p w14:paraId="29469930" w14:textId="77777777" w:rsidR="0004714E" w:rsidRDefault="0004714E"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F1C52" w14:textId="77777777" w:rsidR="0004714E" w:rsidRDefault="0004714E" w:rsidP="004214F0">
      <w:r>
        <w:separator/>
      </w:r>
    </w:p>
  </w:footnote>
  <w:footnote w:type="continuationSeparator" w:id="0">
    <w:p w14:paraId="3B801B38" w14:textId="77777777" w:rsidR="0004714E" w:rsidRDefault="0004714E"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3908887F" w:rsidR="00F944E8" w:rsidRDefault="0078437E">
    <w:pPr>
      <w:pStyle w:val="Intestazione"/>
    </w:pPr>
    <w:r>
      <w:rPr>
        <w:noProof/>
      </w:rPr>
      <w:drawing>
        <wp:anchor distT="0" distB="0" distL="114300" distR="114300" simplePos="0" relativeHeight="251689984" behindDoc="0" locked="0" layoutInCell="1" allowOverlap="1" wp14:anchorId="17694E53" wp14:editId="26E93FA1">
          <wp:simplePos x="0" y="0"/>
          <wp:positionH relativeFrom="margin">
            <wp:posOffset>4241800</wp:posOffset>
          </wp:positionH>
          <wp:positionV relativeFrom="paragraph">
            <wp:posOffset>329565</wp:posOffset>
          </wp:positionV>
          <wp:extent cx="2161540" cy="821690"/>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sidR="00F944E8">
      <w:rPr>
        <w:noProof/>
        <w:lang w:val="en-US" w:eastAsia="ja-JP"/>
      </w:rPr>
      <w:drawing>
        <wp:anchor distT="0" distB="0" distL="114300" distR="114300" simplePos="0" relativeHeight="251680768" behindDoc="0" locked="0" layoutInCell="1" allowOverlap="1" wp14:anchorId="15520E96" wp14:editId="61A95AAD">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F944E8">
      <w:rPr>
        <w:noProof/>
        <w:lang w:val="en-US" w:eastAsia="ja-JP"/>
      </w:rP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5EC7F5A5" w:rsidR="00F944E8" w:rsidRDefault="00F944E8">
    <w:pPr>
      <w:pStyle w:val="Intestazione"/>
    </w:pPr>
    <w:r>
      <w:rPr>
        <w:noProof/>
        <w:lang w:val="en-US" w:eastAsia="ja-JP"/>
      </w:rPr>
      <w:drawing>
        <wp:anchor distT="0" distB="0" distL="114300" distR="114300" simplePos="0" relativeHeight="251670528" behindDoc="0" locked="0" layoutInCell="1" allowOverlap="1" wp14:anchorId="12164D2E" wp14:editId="3C0C57AB">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3827AF15" w:rsidR="00F944E8" w:rsidRDefault="0078437E" w:rsidP="009D0236">
    <w:pPr>
      <w:pStyle w:val="Intestazione"/>
      <w:jc w:val="right"/>
    </w:pPr>
    <w:r>
      <w:rPr>
        <w:noProof/>
      </w:rPr>
      <w:drawing>
        <wp:anchor distT="0" distB="0" distL="114300" distR="114300" simplePos="0" relativeHeight="251687936" behindDoc="0" locked="0" layoutInCell="1" allowOverlap="1" wp14:anchorId="60E92C8C" wp14:editId="657480EF">
          <wp:simplePos x="0" y="0"/>
          <wp:positionH relativeFrom="margin">
            <wp:align>right</wp:align>
          </wp:positionH>
          <wp:positionV relativeFrom="paragraph">
            <wp:posOffset>130810</wp:posOffset>
          </wp:positionV>
          <wp:extent cx="2161540" cy="821690"/>
          <wp:effectExtent l="0" t="0" r="0" b="0"/>
          <wp:wrapSquare wrapText="bothSides"/>
          <wp:docPr id="9" name="Immagine 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sidR="00F944E8">
      <w:rPr>
        <w:noProof/>
        <w:lang w:val="en-US" w:eastAsia="ja-JP"/>
      </w:rPr>
      <mc:AlternateContent>
        <mc:Choice Requires="wps">
          <w:drawing>
            <wp:anchor distT="0" distB="0" distL="114300" distR="114300" simplePos="0" relativeHeight="251678720" behindDoc="0" locked="0" layoutInCell="1" allowOverlap="1" wp14:anchorId="31F3200A" wp14:editId="31E20FA3">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C40D4E"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sidR="00F944E8">
      <w:rPr>
        <w:noProof/>
        <w:lang w:val="en-US" w:eastAsia="ja-JP"/>
      </w:rP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B0155"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sidR="00F944E8">
      <w:rPr>
        <w:noProof/>
        <w:lang w:val="en-US" w:eastAsia="ja-JP"/>
      </w:rP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78437E" w:rsidRDefault="00F944E8" w:rsidP="00EE0C6F">
                          <w:pPr>
                            <w:pStyle w:val="Paragrafobase"/>
                            <w:suppressAutoHyphens/>
                            <w:rPr>
                              <w:rFonts w:ascii="Arial" w:hAnsi="Arial" w:cs="Arial"/>
                              <w:b/>
                              <w:bCs/>
                              <w:color w:val="007656"/>
                              <w:spacing w:val="-1"/>
                              <w:sz w:val="14"/>
                              <w:szCs w:val="14"/>
                              <w:lang w:val="en-US"/>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78437E" w:rsidRDefault="00F944E8" w:rsidP="00EE0C6F">
                    <w:pPr>
                      <w:pStyle w:val="Paragrafobase"/>
                      <w:suppressAutoHyphens/>
                      <w:rPr>
                        <w:rFonts w:ascii="Arial" w:hAnsi="Arial" w:cs="Arial"/>
                        <w:b/>
                        <w:bCs/>
                        <w:color w:val="007656"/>
                        <w:spacing w:val="-1"/>
                        <w:sz w:val="14"/>
                        <w:szCs w:val="14"/>
                        <w:lang w:val="en-US"/>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v:textbox>
              <w10:wrap type="square" anchorx="margin"/>
            </v:shape>
          </w:pict>
        </mc:Fallback>
      </mc:AlternateContent>
    </w:r>
    <w:r w:rsidR="00F944E8">
      <w:rPr>
        <w:noProof/>
        <w:lang w:val="en-US" w:eastAsia="ja-JP"/>
      </w:rP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99805890">
    <w:abstractNumId w:val="2"/>
  </w:num>
  <w:num w:numId="2" w16cid:durableId="1796678337">
    <w:abstractNumId w:val="1"/>
  </w:num>
  <w:num w:numId="3" w16cid:durableId="1308631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5314"/>
    <w:rsid w:val="00007F8D"/>
    <w:rsid w:val="000101D2"/>
    <w:rsid w:val="00010B65"/>
    <w:rsid w:val="00010BD5"/>
    <w:rsid w:val="000126BE"/>
    <w:rsid w:val="00015620"/>
    <w:rsid w:val="000202A3"/>
    <w:rsid w:val="0002408D"/>
    <w:rsid w:val="00026724"/>
    <w:rsid w:val="00030764"/>
    <w:rsid w:val="00031F53"/>
    <w:rsid w:val="0003251F"/>
    <w:rsid w:val="00034855"/>
    <w:rsid w:val="00034E04"/>
    <w:rsid w:val="00034EAD"/>
    <w:rsid w:val="000356D4"/>
    <w:rsid w:val="00036024"/>
    <w:rsid w:val="000362B4"/>
    <w:rsid w:val="00041FF7"/>
    <w:rsid w:val="00041FFD"/>
    <w:rsid w:val="0004263A"/>
    <w:rsid w:val="000448E4"/>
    <w:rsid w:val="00045B2A"/>
    <w:rsid w:val="00045F67"/>
    <w:rsid w:val="00046280"/>
    <w:rsid w:val="0004714E"/>
    <w:rsid w:val="00051631"/>
    <w:rsid w:val="00054ACF"/>
    <w:rsid w:val="00055253"/>
    <w:rsid w:val="000562EF"/>
    <w:rsid w:val="00066C80"/>
    <w:rsid w:val="00067370"/>
    <w:rsid w:val="00072668"/>
    <w:rsid w:val="0007285C"/>
    <w:rsid w:val="0007417A"/>
    <w:rsid w:val="000741C2"/>
    <w:rsid w:val="00077296"/>
    <w:rsid w:val="00077B98"/>
    <w:rsid w:val="0008008C"/>
    <w:rsid w:val="0009078A"/>
    <w:rsid w:val="00090A12"/>
    <w:rsid w:val="00091009"/>
    <w:rsid w:val="00091613"/>
    <w:rsid w:val="00091808"/>
    <w:rsid w:val="00091CA8"/>
    <w:rsid w:val="000924BE"/>
    <w:rsid w:val="00095E90"/>
    <w:rsid w:val="000973AE"/>
    <w:rsid w:val="000A054D"/>
    <w:rsid w:val="000A5EE4"/>
    <w:rsid w:val="000A5F05"/>
    <w:rsid w:val="000B366E"/>
    <w:rsid w:val="000B4BDC"/>
    <w:rsid w:val="000B682F"/>
    <w:rsid w:val="000C1A85"/>
    <w:rsid w:val="000C1C78"/>
    <w:rsid w:val="000C333E"/>
    <w:rsid w:val="000C52F2"/>
    <w:rsid w:val="000C5D78"/>
    <w:rsid w:val="000D015A"/>
    <w:rsid w:val="000D088F"/>
    <w:rsid w:val="000D0C5E"/>
    <w:rsid w:val="000D139A"/>
    <w:rsid w:val="000D268E"/>
    <w:rsid w:val="000D2938"/>
    <w:rsid w:val="000D3BD5"/>
    <w:rsid w:val="000D45FA"/>
    <w:rsid w:val="000D47C5"/>
    <w:rsid w:val="000E031F"/>
    <w:rsid w:val="000E1605"/>
    <w:rsid w:val="000E4B7A"/>
    <w:rsid w:val="000E63F3"/>
    <w:rsid w:val="000E6632"/>
    <w:rsid w:val="000F0947"/>
    <w:rsid w:val="000F2177"/>
    <w:rsid w:val="000F253C"/>
    <w:rsid w:val="000F4A77"/>
    <w:rsid w:val="000F704B"/>
    <w:rsid w:val="000F72F0"/>
    <w:rsid w:val="001006FF"/>
    <w:rsid w:val="00100721"/>
    <w:rsid w:val="00101A5D"/>
    <w:rsid w:val="00103EA8"/>
    <w:rsid w:val="0010724D"/>
    <w:rsid w:val="00107F19"/>
    <w:rsid w:val="00113FDA"/>
    <w:rsid w:val="00116402"/>
    <w:rsid w:val="00116F71"/>
    <w:rsid w:val="00120392"/>
    <w:rsid w:val="0012097B"/>
    <w:rsid w:val="00120EBE"/>
    <w:rsid w:val="0012108E"/>
    <w:rsid w:val="00121F09"/>
    <w:rsid w:val="00122771"/>
    <w:rsid w:val="00123046"/>
    <w:rsid w:val="00124897"/>
    <w:rsid w:val="001257CB"/>
    <w:rsid w:val="00127728"/>
    <w:rsid w:val="001308EE"/>
    <w:rsid w:val="0013256D"/>
    <w:rsid w:val="0013692C"/>
    <w:rsid w:val="00137C47"/>
    <w:rsid w:val="00142198"/>
    <w:rsid w:val="00142758"/>
    <w:rsid w:val="00145119"/>
    <w:rsid w:val="00145399"/>
    <w:rsid w:val="00147CEE"/>
    <w:rsid w:val="001532B4"/>
    <w:rsid w:val="00156814"/>
    <w:rsid w:val="00156D89"/>
    <w:rsid w:val="00160BC8"/>
    <w:rsid w:val="00160D87"/>
    <w:rsid w:val="00161005"/>
    <w:rsid w:val="001611C2"/>
    <w:rsid w:val="00170282"/>
    <w:rsid w:val="001705AC"/>
    <w:rsid w:val="001762F9"/>
    <w:rsid w:val="00176412"/>
    <w:rsid w:val="00180562"/>
    <w:rsid w:val="00181A1B"/>
    <w:rsid w:val="001848A0"/>
    <w:rsid w:val="00184A89"/>
    <w:rsid w:val="00185C23"/>
    <w:rsid w:val="001860C8"/>
    <w:rsid w:val="001860E3"/>
    <w:rsid w:val="0019038F"/>
    <w:rsid w:val="00194A91"/>
    <w:rsid w:val="00195A73"/>
    <w:rsid w:val="00197E93"/>
    <w:rsid w:val="001A0E54"/>
    <w:rsid w:val="001A14C1"/>
    <w:rsid w:val="001A1D8A"/>
    <w:rsid w:val="001A3CE5"/>
    <w:rsid w:val="001A3D3D"/>
    <w:rsid w:val="001A73C7"/>
    <w:rsid w:val="001B0112"/>
    <w:rsid w:val="001B0162"/>
    <w:rsid w:val="001B06C7"/>
    <w:rsid w:val="001B0C74"/>
    <w:rsid w:val="001B2085"/>
    <w:rsid w:val="001B2907"/>
    <w:rsid w:val="001B3A84"/>
    <w:rsid w:val="001B4A66"/>
    <w:rsid w:val="001B51F5"/>
    <w:rsid w:val="001B60A9"/>
    <w:rsid w:val="001C0AA9"/>
    <w:rsid w:val="001C1229"/>
    <w:rsid w:val="001C1A23"/>
    <w:rsid w:val="001D3B87"/>
    <w:rsid w:val="001D3BD8"/>
    <w:rsid w:val="001D51C3"/>
    <w:rsid w:val="001E120E"/>
    <w:rsid w:val="001E3C31"/>
    <w:rsid w:val="001F3096"/>
    <w:rsid w:val="001F31D4"/>
    <w:rsid w:val="001F4BB3"/>
    <w:rsid w:val="001F500E"/>
    <w:rsid w:val="001F5854"/>
    <w:rsid w:val="002028EE"/>
    <w:rsid w:val="002032F4"/>
    <w:rsid w:val="00205697"/>
    <w:rsid w:val="00206199"/>
    <w:rsid w:val="002070A9"/>
    <w:rsid w:val="002126E1"/>
    <w:rsid w:val="002167BC"/>
    <w:rsid w:val="002212DE"/>
    <w:rsid w:val="00221FA5"/>
    <w:rsid w:val="00223FAC"/>
    <w:rsid w:val="00234CC0"/>
    <w:rsid w:val="0024228F"/>
    <w:rsid w:val="00245378"/>
    <w:rsid w:val="00247B17"/>
    <w:rsid w:val="002536E9"/>
    <w:rsid w:val="00253C5D"/>
    <w:rsid w:val="00260505"/>
    <w:rsid w:val="00262B32"/>
    <w:rsid w:val="00264158"/>
    <w:rsid w:val="0026630F"/>
    <w:rsid w:val="00267A39"/>
    <w:rsid w:val="00267FF0"/>
    <w:rsid w:val="0027111D"/>
    <w:rsid w:val="00272BBD"/>
    <w:rsid w:val="00274A56"/>
    <w:rsid w:val="002757AC"/>
    <w:rsid w:val="00277438"/>
    <w:rsid w:val="0027745E"/>
    <w:rsid w:val="00296367"/>
    <w:rsid w:val="002978CF"/>
    <w:rsid w:val="00297B79"/>
    <w:rsid w:val="00297FA1"/>
    <w:rsid w:val="002A1351"/>
    <w:rsid w:val="002A1814"/>
    <w:rsid w:val="002A1877"/>
    <w:rsid w:val="002A2D4A"/>
    <w:rsid w:val="002A417A"/>
    <w:rsid w:val="002A63DE"/>
    <w:rsid w:val="002A7279"/>
    <w:rsid w:val="002B0550"/>
    <w:rsid w:val="002B09A5"/>
    <w:rsid w:val="002B2CA6"/>
    <w:rsid w:val="002B4284"/>
    <w:rsid w:val="002B547C"/>
    <w:rsid w:val="002B6426"/>
    <w:rsid w:val="002B6EDA"/>
    <w:rsid w:val="002C2CBD"/>
    <w:rsid w:val="002C2FEC"/>
    <w:rsid w:val="002C37BC"/>
    <w:rsid w:val="002C4335"/>
    <w:rsid w:val="002C436C"/>
    <w:rsid w:val="002C511A"/>
    <w:rsid w:val="002C6ABC"/>
    <w:rsid w:val="002C6EA9"/>
    <w:rsid w:val="002C7DE4"/>
    <w:rsid w:val="002D120A"/>
    <w:rsid w:val="002D46A1"/>
    <w:rsid w:val="002D6FC0"/>
    <w:rsid w:val="002E1543"/>
    <w:rsid w:val="002F6B2C"/>
    <w:rsid w:val="002F7748"/>
    <w:rsid w:val="00303BBC"/>
    <w:rsid w:val="0030715E"/>
    <w:rsid w:val="003079C9"/>
    <w:rsid w:val="00311156"/>
    <w:rsid w:val="0031136A"/>
    <w:rsid w:val="0031665D"/>
    <w:rsid w:val="003204C3"/>
    <w:rsid w:val="00321731"/>
    <w:rsid w:val="00321DAF"/>
    <w:rsid w:val="0032277C"/>
    <w:rsid w:val="0032430D"/>
    <w:rsid w:val="00324E32"/>
    <w:rsid w:val="003254E1"/>
    <w:rsid w:val="003263AA"/>
    <w:rsid w:val="00327305"/>
    <w:rsid w:val="00336A38"/>
    <w:rsid w:val="0033792C"/>
    <w:rsid w:val="00340244"/>
    <w:rsid w:val="00341EC1"/>
    <w:rsid w:val="0034465A"/>
    <w:rsid w:val="003450C3"/>
    <w:rsid w:val="003551E8"/>
    <w:rsid w:val="00361579"/>
    <w:rsid w:val="00362F78"/>
    <w:rsid w:val="003632F7"/>
    <w:rsid w:val="00363541"/>
    <w:rsid w:val="00363F97"/>
    <w:rsid w:val="00363FDE"/>
    <w:rsid w:val="00365664"/>
    <w:rsid w:val="00366FD3"/>
    <w:rsid w:val="00371B7D"/>
    <w:rsid w:val="00373244"/>
    <w:rsid w:val="00373BFD"/>
    <w:rsid w:val="0037469C"/>
    <w:rsid w:val="003768A5"/>
    <w:rsid w:val="00384CEF"/>
    <w:rsid w:val="003878CA"/>
    <w:rsid w:val="00391D5A"/>
    <w:rsid w:val="00392741"/>
    <w:rsid w:val="003A08B9"/>
    <w:rsid w:val="003A0963"/>
    <w:rsid w:val="003A11F4"/>
    <w:rsid w:val="003A23A1"/>
    <w:rsid w:val="003A3485"/>
    <w:rsid w:val="003B2108"/>
    <w:rsid w:val="003B25BC"/>
    <w:rsid w:val="003B2C9B"/>
    <w:rsid w:val="003B5E08"/>
    <w:rsid w:val="003C24BB"/>
    <w:rsid w:val="003C2A8B"/>
    <w:rsid w:val="003C515A"/>
    <w:rsid w:val="003C6BBA"/>
    <w:rsid w:val="003D1C92"/>
    <w:rsid w:val="003D3B41"/>
    <w:rsid w:val="003D42BA"/>
    <w:rsid w:val="003E063C"/>
    <w:rsid w:val="003E14D1"/>
    <w:rsid w:val="003E376B"/>
    <w:rsid w:val="003E49CA"/>
    <w:rsid w:val="003E50A4"/>
    <w:rsid w:val="003E6966"/>
    <w:rsid w:val="003F18AC"/>
    <w:rsid w:val="003F18DB"/>
    <w:rsid w:val="003F3EEC"/>
    <w:rsid w:val="003F6FF7"/>
    <w:rsid w:val="00402AC6"/>
    <w:rsid w:val="00405701"/>
    <w:rsid w:val="00410A47"/>
    <w:rsid w:val="004177A8"/>
    <w:rsid w:val="004214F0"/>
    <w:rsid w:val="00423FC8"/>
    <w:rsid w:val="0042404E"/>
    <w:rsid w:val="0042482A"/>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723"/>
    <w:rsid w:val="00446D0E"/>
    <w:rsid w:val="00447D11"/>
    <w:rsid w:val="00447D70"/>
    <w:rsid w:val="004506D9"/>
    <w:rsid w:val="00451878"/>
    <w:rsid w:val="00454941"/>
    <w:rsid w:val="00456C15"/>
    <w:rsid w:val="00464AB5"/>
    <w:rsid w:val="00465905"/>
    <w:rsid w:val="0047202B"/>
    <w:rsid w:val="00473929"/>
    <w:rsid w:val="00476DD4"/>
    <w:rsid w:val="004812F6"/>
    <w:rsid w:val="00482C73"/>
    <w:rsid w:val="00483977"/>
    <w:rsid w:val="00484052"/>
    <w:rsid w:val="00485F83"/>
    <w:rsid w:val="00486301"/>
    <w:rsid w:val="0048715D"/>
    <w:rsid w:val="0048735E"/>
    <w:rsid w:val="004873E2"/>
    <w:rsid w:val="00487E32"/>
    <w:rsid w:val="00490B19"/>
    <w:rsid w:val="00490CC2"/>
    <w:rsid w:val="0049155A"/>
    <w:rsid w:val="00494297"/>
    <w:rsid w:val="00495B2B"/>
    <w:rsid w:val="004974BA"/>
    <w:rsid w:val="004A5248"/>
    <w:rsid w:val="004A78C4"/>
    <w:rsid w:val="004B0AA8"/>
    <w:rsid w:val="004B3735"/>
    <w:rsid w:val="004C166C"/>
    <w:rsid w:val="004C26AB"/>
    <w:rsid w:val="004C3C66"/>
    <w:rsid w:val="004C6E63"/>
    <w:rsid w:val="004C783D"/>
    <w:rsid w:val="004D44DD"/>
    <w:rsid w:val="004D76E4"/>
    <w:rsid w:val="004E185D"/>
    <w:rsid w:val="004E3409"/>
    <w:rsid w:val="004E656D"/>
    <w:rsid w:val="004F342F"/>
    <w:rsid w:val="004F65E5"/>
    <w:rsid w:val="005008A3"/>
    <w:rsid w:val="00501319"/>
    <w:rsid w:val="00502835"/>
    <w:rsid w:val="00502981"/>
    <w:rsid w:val="00502A7F"/>
    <w:rsid w:val="00503172"/>
    <w:rsid w:val="00504157"/>
    <w:rsid w:val="00505A11"/>
    <w:rsid w:val="00505B64"/>
    <w:rsid w:val="00506396"/>
    <w:rsid w:val="00506F55"/>
    <w:rsid w:val="005107B1"/>
    <w:rsid w:val="00510B32"/>
    <w:rsid w:val="00511643"/>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C79"/>
    <w:rsid w:val="00533422"/>
    <w:rsid w:val="00533635"/>
    <w:rsid w:val="00536B2D"/>
    <w:rsid w:val="00536DAC"/>
    <w:rsid w:val="00540E2E"/>
    <w:rsid w:val="00542793"/>
    <w:rsid w:val="0054339E"/>
    <w:rsid w:val="00544264"/>
    <w:rsid w:val="00545826"/>
    <w:rsid w:val="00546DD0"/>
    <w:rsid w:val="00550AEE"/>
    <w:rsid w:val="005543DF"/>
    <w:rsid w:val="00555437"/>
    <w:rsid w:val="005576F6"/>
    <w:rsid w:val="00560EE9"/>
    <w:rsid w:val="005629E0"/>
    <w:rsid w:val="0056416D"/>
    <w:rsid w:val="0056438B"/>
    <w:rsid w:val="00566468"/>
    <w:rsid w:val="0056694A"/>
    <w:rsid w:val="00571D68"/>
    <w:rsid w:val="0057362D"/>
    <w:rsid w:val="00575781"/>
    <w:rsid w:val="00575A55"/>
    <w:rsid w:val="00580767"/>
    <w:rsid w:val="00581616"/>
    <w:rsid w:val="005842E7"/>
    <w:rsid w:val="005865CF"/>
    <w:rsid w:val="005933C3"/>
    <w:rsid w:val="0059487F"/>
    <w:rsid w:val="005953AD"/>
    <w:rsid w:val="0059666E"/>
    <w:rsid w:val="00596BA8"/>
    <w:rsid w:val="00597A40"/>
    <w:rsid w:val="005A5DE5"/>
    <w:rsid w:val="005B1814"/>
    <w:rsid w:val="005B1C21"/>
    <w:rsid w:val="005B1F5D"/>
    <w:rsid w:val="005B1FCA"/>
    <w:rsid w:val="005B2461"/>
    <w:rsid w:val="005B31BC"/>
    <w:rsid w:val="005C348B"/>
    <w:rsid w:val="005C57A3"/>
    <w:rsid w:val="005C65C4"/>
    <w:rsid w:val="005C79D5"/>
    <w:rsid w:val="005D407C"/>
    <w:rsid w:val="005D6509"/>
    <w:rsid w:val="005D6A77"/>
    <w:rsid w:val="005E3B43"/>
    <w:rsid w:val="005E5C01"/>
    <w:rsid w:val="005E5C9B"/>
    <w:rsid w:val="005E7E3D"/>
    <w:rsid w:val="005F02C6"/>
    <w:rsid w:val="005F6267"/>
    <w:rsid w:val="005F6BC1"/>
    <w:rsid w:val="006012D3"/>
    <w:rsid w:val="00606B33"/>
    <w:rsid w:val="006106DB"/>
    <w:rsid w:val="006108AE"/>
    <w:rsid w:val="00610B57"/>
    <w:rsid w:val="00612A58"/>
    <w:rsid w:val="00613346"/>
    <w:rsid w:val="00620B60"/>
    <w:rsid w:val="00621A25"/>
    <w:rsid w:val="00622632"/>
    <w:rsid w:val="00622F66"/>
    <w:rsid w:val="00624C19"/>
    <w:rsid w:val="00627976"/>
    <w:rsid w:val="0063091C"/>
    <w:rsid w:val="00631AE3"/>
    <w:rsid w:val="00633C21"/>
    <w:rsid w:val="00633CDF"/>
    <w:rsid w:val="0063404B"/>
    <w:rsid w:val="0063752A"/>
    <w:rsid w:val="006440FD"/>
    <w:rsid w:val="00646170"/>
    <w:rsid w:val="006467E8"/>
    <w:rsid w:val="00646E2E"/>
    <w:rsid w:val="00647AB6"/>
    <w:rsid w:val="00654C93"/>
    <w:rsid w:val="00656A5A"/>
    <w:rsid w:val="0066186F"/>
    <w:rsid w:val="00661DED"/>
    <w:rsid w:val="00666397"/>
    <w:rsid w:val="00667323"/>
    <w:rsid w:val="006676C6"/>
    <w:rsid w:val="006712CF"/>
    <w:rsid w:val="0067341B"/>
    <w:rsid w:val="00676995"/>
    <w:rsid w:val="00676997"/>
    <w:rsid w:val="00681BBE"/>
    <w:rsid w:val="00682ED9"/>
    <w:rsid w:val="0068394B"/>
    <w:rsid w:val="00686953"/>
    <w:rsid w:val="00686FA8"/>
    <w:rsid w:val="0068708F"/>
    <w:rsid w:val="00687EC9"/>
    <w:rsid w:val="00693D1B"/>
    <w:rsid w:val="006A2241"/>
    <w:rsid w:val="006A33E5"/>
    <w:rsid w:val="006A344D"/>
    <w:rsid w:val="006A5D5C"/>
    <w:rsid w:val="006B09F3"/>
    <w:rsid w:val="006B3E2D"/>
    <w:rsid w:val="006B4FAB"/>
    <w:rsid w:val="006B5C05"/>
    <w:rsid w:val="006B757A"/>
    <w:rsid w:val="006C18C3"/>
    <w:rsid w:val="006C2579"/>
    <w:rsid w:val="006C7355"/>
    <w:rsid w:val="006D0135"/>
    <w:rsid w:val="006D0341"/>
    <w:rsid w:val="006D07F1"/>
    <w:rsid w:val="006D0942"/>
    <w:rsid w:val="006D0BEE"/>
    <w:rsid w:val="006D0DBE"/>
    <w:rsid w:val="006D1A15"/>
    <w:rsid w:val="006D6833"/>
    <w:rsid w:val="006D7B36"/>
    <w:rsid w:val="006E0A17"/>
    <w:rsid w:val="006E16FA"/>
    <w:rsid w:val="006E3D4B"/>
    <w:rsid w:val="006E4863"/>
    <w:rsid w:val="006E4B3E"/>
    <w:rsid w:val="006E6B78"/>
    <w:rsid w:val="006F0598"/>
    <w:rsid w:val="006F2C36"/>
    <w:rsid w:val="006F30C7"/>
    <w:rsid w:val="006F3B03"/>
    <w:rsid w:val="006F465D"/>
    <w:rsid w:val="006F5A24"/>
    <w:rsid w:val="006F6919"/>
    <w:rsid w:val="006F784F"/>
    <w:rsid w:val="0070063F"/>
    <w:rsid w:val="0070131E"/>
    <w:rsid w:val="00703719"/>
    <w:rsid w:val="00704241"/>
    <w:rsid w:val="007047E8"/>
    <w:rsid w:val="00704993"/>
    <w:rsid w:val="007050B7"/>
    <w:rsid w:val="00705E50"/>
    <w:rsid w:val="00712340"/>
    <w:rsid w:val="00715A80"/>
    <w:rsid w:val="0072091D"/>
    <w:rsid w:val="007213BC"/>
    <w:rsid w:val="00721B9B"/>
    <w:rsid w:val="00723CBE"/>
    <w:rsid w:val="00727294"/>
    <w:rsid w:val="00732491"/>
    <w:rsid w:val="00732A6D"/>
    <w:rsid w:val="0073312F"/>
    <w:rsid w:val="00735401"/>
    <w:rsid w:val="007358E1"/>
    <w:rsid w:val="00736B6C"/>
    <w:rsid w:val="00736E98"/>
    <w:rsid w:val="0073772E"/>
    <w:rsid w:val="00737E65"/>
    <w:rsid w:val="0074328A"/>
    <w:rsid w:val="00747BF9"/>
    <w:rsid w:val="0075106C"/>
    <w:rsid w:val="0075122B"/>
    <w:rsid w:val="00754734"/>
    <w:rsid w:val="0075489A"/>
    <w:rsid w:val="00754D6E"/>
    <w:rsid w:val="00755E42"/>
    <w:rsid w:val="007577C7"/>
    <w:rsid w:val="00762B34"/>
    <w:rsid w:val="00762DC2"/>
    <w:rsid w:val="00763837"/>
    <w:rsid w:val="00764823"/>
    <w:rsid w:val="00764E34"/>
    <w:rsid w:val="007650C9"/>
    <w:rsid w:val="00766256"/>
    <w:rsid w:val="007667F1"/>
    <w:rsid w:val="00766D75"/>
    <w:rsid w:val="0077320D"/>
    <w:rsid w:val="00775A38"/>
    <w:rsid w:val="007766B6"/>
    <w:rsid w:val="00777C5F"/>
    <w:rsid w:val="00780F69"/>
    <w:rsid w:val="00781B8B"/>
    <w:rsid w:val="00783B31"/>
    <w:rsid w:val="0078437E"/>
    <w:rsid w:val="0078667F"/>
    <w:rsid w:val="00786C86"/>
    <w:rsid w:val="00787870"/>
    <w:rsid w:val="00787E2C"/>
    <w:rsid w:val="007908DB"/>
    <w:rsid w:val="0079107F"/>
    <w:rsid w:val="00791267"/>
    <w:rsid w:val="00793189"/>
    <w:rsid w:val="007931AA"/>
    <w:rsid w:val="007941D4"/>
    <w:rsid w:val="00794B6A"/>
    <w:rsid w:val="00794D59"/>
    <w:rsid w:val="007958B2"/>
    <w:rsid w:val="00796D9A"/>
    <w:rsid w:val="007A0571"/>
    <w:rsid w:val="007A2833"/>
    <w:rsid w:val="007A2D79"/>
    <w:rsid w:val="007A3468"/>
    <w:rsid w:val="007A3762"/>
    <w:rsid w:val="007A6DF5"/>
    <w:rsid w:val="007A7590"/>
    <w:rsid w:val="007B36E8"/>
    <w:rsid w:val="007B438E"/>
    <w:rsid w:val="007B466D"/>
    <w:rsid w:val="007B4D6E"/>
    <w:rsid w:val="007B7717"/>
    <w:rsid w:val="007C0980"/>
    <w:rsid w:val="007C0B79"/>
    <w:rsid w:val="007C0CBD"/>
    <w:rsid w:val="007C188C"/>
    <w:rsid w:val="007C26B1"/>
    <w:rsid w:val="007C2796"/>
    <w:rsid w:val="007C5F3E"/>
    <w:rsid w:val="007C7C94"/>
    <w:rsid w:val="007D10BB"/>
    <w:rsid w:val="007D350F"/>
    <w:rsid w:val="007D48EF"/>
    <w:rsid w:val="007D5328"/>
    <w:rsid w:val="007D6F8D"/>
    <w:rsid w:val="007D7896"/>
    <w:rsid w:val="007E072E"/>
    <w:rsid w:val="007E3D02"/>
    <w:rsid w:val="007E4ADB"/>
    <w:rsid w:val="007E4DA5"/>
    <w:rsid w:val="007F17E7"/>
    <w:rsid w:val="007F4927"/>
    <w:rsid w:val="007F588A"/>
    <w:rsid w:val="007F6C8E"/>
    <w:rsid w:val="007F791B"/>
    <w:rsid w:val="008013BC"/>
    <w:rsid w:val="008014EF"/>
    <w:rsid w:val="00802B48"/>
    <w:rsid w:val="008049EE"/>
    <w:rsid w:val="00804D7A"/>
    <w:rsid w:val="008067E8"/>
    <w:rsid w:val="00806F37"/>
    <w:rsid w:val="008109E3"/>
    <w:rsid w:val="00811B96"/>
    <w:rsid w:val="00811F27"/>
    <w:rsid w:val="00812767"/>
    <w:rsid w:val="00812D57"/>
    <w:rsid w:val="00813596"/>
    <w:rsid w:val="00813A5E"/>
    <w:rsid w:val="00813EBF"/>
    <w:rsid w:val="00813FEF"/>
    <w:rsid w:val="00817E83"/>
    <w:rsid w:val="00822965"/>
    <w:rsid w:val="00830AB1"/>
    <w:rsid w:val="008335EA"/>
    <w:rsid w:val="00833FE2"/>
    <w:rsid w:val="00834DC2"/>
    <w:rsid w:val="008422EA"/>
    <w:rsid w:val="00843083"/>
    <w:rsid w:val="0084516A"/>
    <w:rsid w:val="008456EC"/>
    <w:rsid w:val="00846612"/>
    <w:rsid w:val="00850425"/>
    <w:rsid w:val="0085084D"/>
    <w:rsid w:val="00854130"/>
    <w:rsid w:val="00855845"/>
    <w:rsid w:val="00861363"/>
    <w:rsid w:val="0086227A"/>
    <w:rsid w:val="0086250B"/>
    <w:rsid w:val="00865479"/>
    <w:rsid w:val="00870372"/>
    <w:rsid w:val="0087100E"/>
    <w:rsid w:val="008714F8"/>
    <w:rsid w:val="008717CE"/>
    <w:rsid w:val="00871E05"/>
    <w:rsid w:val="00872814"/>
    <w:rsid w:val="00875B43"/>
    <w:rsid w:val="00876F7E"/>
    <w:rsid w:val="00880178"/>
    <w:rsid w:val="00881930"/>
    <w:rsid w:val="00881A3D"/>
    <w:rsid w:val="00884B5C"/>
    <w:rsid w:val="0088677D"/>
    <w:rsid w:val="00893DF7"/>
    <w:rsid w:val="00894EA4"/>
    <w:rsid w:val="008952D4"/>
    <w:rsid w:val="008A25CB"/>
    <w:rsid w:val="008A6B66"/>
    <w:rsid w:val="008B009A"/>
    <w:rsid w:val="008B3589"/>
    <w:rsid w:val="008B5A7E"/>
    <w:rsid w:val="008B5F03"/>
    <w:rsid w:val="008B67E9"/>
    <w:rsid w:val="008B6A34"/>
    <w:rsid w:val="008B7C12"/>
    <w:rsid w:val="008C1966"/>
    <w:rsid w:val="008C3D9B"/>
    <w:rsid w:val="008C3DCD"/>
    <w:rsid w:val="008C49B9"/>
    <w:rsid w:val="008C4A12"/>
    <w:rsid w:val="008C4E32"/>
    <w:rsid w:val="008C5945"/>
    <w:rsid w:val="008C68CA"/>
    <w:rsid w:val="008D512D"/>
    <w:rsid w:val="008D6E4B"/>
    <w:rsid w:val="008D7236"/>
    <w:rsid w:val="008E0EF9"/>
    <w:rsid w:val="008E29B0"/>
    <w:rsid w:val="008E4106"/>
    <w:rsid w:val="008F322D"/>
    <w:rsid w:val="008F5520"/>
    <w:rsid w:val="009046A0"/>
    <w:rsid w:val="00905E45"/>
    <w:rsid w:val="00907DA3"/>
    <w:rsid w:val="009102A6"/>
    <w:rsid w:val="0091069B"/>
    <w:rsid w:val="00912F8E"/>
    <w:rsid w:val="00914315"/>
    <w:rsid w:val="00914381"/>
    <w:rsid w:val="00914B63"/>
    <w:rsid w:val="00915CEA"/>
    <w:rsid w:val="009174A2"/>
    <w:rsid w:val="009212DF"/>
    <w:rsid w:val="00922502"/>
    <w:rsid w:val="009243F2"/>
    <w:rsid w:val="0092448C"/>
    <w:rsid w:val="00924991"/>
    <w:rsid w:val="00924BC7"/>
    <w:rsid w:val="00925D3B"/>
    <w:rsid w:val="00926D9A"/>
    <w:rsid w:val="00931CE8"/>
    <w:rsid w:val="00933FA9"/>
    <w:rsid w:val="00935903"/>
    <w:rsid w:val="00941D69"/>
    <w:rsid w:val="00946D48"/>
    <w:rsid w:val="0094792B"/>
    <w:rsid w:val="0095176B"/>
    <w:rsid w:val="00951BEE"/>
    <w:rsid w:val="00951BF2"/>
    <w:rsid w:val="00953C37"/>
    <w:rsid w:val="00954F23"/>
    <w:rsid w:val="009563C1"/>
    <w:rsid w:val="0096079F"/>
    <w:rsid w:val="00960DFF"/>
    <w:rsid w:val="00963C8B"/>
    <w:rsid w:val="00970B0B"/>
    <w:rsid w:val="0097314F"/>
    <w:rsid w:val="009772C1"/>
    <w:rsid w:val="009831CA"/>
    <w:rsid w:val="00983973"/>
    <w:rsid w:val="00983BDC"/>
    <w:rsid w:val="00985467"/>
    <w:rsid w:val="00985802"/>
    <w:rsid w:val="0098585A"/>
    <w:rsid w:val="00986505"/>
    <w:rsid w:val="00991518"/>
    <w:rsid w:val="009934C2"/>
    <w:rsid w:val="00994053"/>
    <w:rsid w:val="009945AB"/>
    <w:rsid w:val="00994AE9"/>
    <w:rsid w:val="00994F96"/>
    <w:rsid w:val="00995A7E"/>
    <w:rsid w:val="00996E84"/>
    <w:rsid w:val="009A38FF"/>
    <w:rsid w:val="009A47F5"/>
    <w:rsid w:val="009A6AF0"/>
    <w:rsid w:val="009A798C"/>
    <w:rsid w:val="009B0660"/>
    <w:rsid w:val="009B406A"/>
    <w:rsid w:val="009B6B41"/>
    <w:rsid w:val="009B6D39"/>
    <w:rsid w:val="009B6F01"/>
    <w:rsid w:val="009C0D9E"/>
    <w:rsid w:val="009C141E"/>
    <w:rsid w:val="009C1F3E"/>
    <w:rsid w:val="009C3762"/>
    <w:rsid w:val="009C4473"/>
    <w:rsid w:val="009D0236"/>
    <w:rsid w:val="009D035B"/>
    <w:rsid w:val="009D3A22"/>
    <w:rsid w:val="009D461D"/>
    <w:rsid w:val="009D467A"/>
    <w:rsid w:val="009D4B0B"/>
    <w:rsid w:val="009E098C"/>
    <w:rsid w:val="009E0D7A"/>
    <w:rsid w:val="009E192E"/>
    <w:rsid w:val="009E5B1F"/>
    <w:rsid w:val="009E5E58"/>
    <w:rsid w:val="009E77CF"/>
    <w:rsid w:val="009F0338"/>
    <w:rsid w:val="009F3332"/>
    <w:rsid w:val="009F398B"/>
    <w:rsid w:val="009F4B0D"/>
    <w:rsid w:val="009F65A9"/>
    <w:rsid w:val="009F758A"/>
    <w:rsid w:val="009F7C5A"/>
    <w:rsid w:val="00A009DA"/>
    <w:rsid w:val="00A02E7B"/>
    <w:rsid w:val="00A0401C"/>
    <w:rsid w:val="00A05022"/>
    <w:rsid w:val="00A06A30"/>
    <w:rsid w:val="00A10074"/>
    <w:rsid w:val="00A11AD4"/>
    <w:rsid w:val="00A11BB1"/>
    <w:rsid w:val="00A14852"/>
    <w:rsid w:val="00A15FE3"/>
    <w:rsid w:val="00A168F4"/>
    <w:rsid w:val="00A17422"/>
    <w:rsid w:val="00A17F0A"/>
    <w:rsid w:val="00A20A67"/>
    <w:rsid w:val="00A21753"/>
    <w:rsid w:val="00A23A57"/>
    <w:rsid w:val="00A31606"/>
    <w:rsid w:val="00A41CEA"/>
    <w:rsid w:val="00A47E66"/>
    <w:rsid w:val="00A517B2"/>
    <w:rsid w:val="00A54036"/>
    <w:rsid w:val="00A555F1"/>
    <w:rsid w:val="00A572F8"/>
    <w:rsid w:val="00A57961"/>
    <w:rsid w:val="00A57F86"/>
    <w:rsid w:val="00A61B61"/>
    <w:rsid w:val="00A63BBD"/>
    <w:rsid w:val="00A70181"/>
    <w:rsid w:val="00A720F7"/>
    <w:rsid w:val="00A72967"/>
    <w:rsid w:val="00A7380A"/>
    <w:rsid w:val="00A7404B"/>
    <w:rsid w:val="00A744E4"/>
    <w:rsid w:val="00A76EFD"/>
    <w:rsid w:val="00A817BC"/>
    <w:rsid w:val="00A8764B"/>
    <w:rsid w:val="00A9211A"/>
    <w:rsid w:val="00A92C15"/>
    <w:rsid w:val="00A93965"/>
    <w:rsid w:val="00A94A80"/>
    <w:rsid w:val="00A94DAC"/>
    <w:rsid w:val="00A95450"/>
    <w:rsid w:val="00A9585D"/>
    <w:rsid w:val="00AA0407"/>
    <w:rsid w:val="00AA0CA5"/>
    <w:rsid w:val="00AA3258"/>
    <w:rsid w:val="00AA3F14"/>
    <w:rsid w:val="00AA4C5E"/>
    <w:rsid w:val="00AA70AE"/>
    <w:rsid w:val="00AB280C"/>
    <w:rsid w:val="00AB3348"/>
    <w:rsid w:val="00AB371C"/>
    <w:rsid w:val="00AB68E4"/>
    <w:rsid w:val="00AC33AC"/>
    <w:rsid w:val="00AC3AFD"/>
    <w:rsid w:val="00AC3D60"/>
    <w:rsid w:val="00AC670E"/>
    <w:rsid w:val="00AC749F"/>
    <w:rsid w:val="00AC74F6"/>
    <w:rsid w:val="00AC792F"/>
    <w:rsid w:val="00AD0A27"/>
    <w:rsid w:val="00AD2387"/>
    <w:rsid w:val="00AD303B"/>
    <w:rsid w:val="00AD61AE"/>
    <w:rsid w:val="00AE0DD5"/>
    <w:rsid w:val="00AE4B6E"/>
    <w:rsid w:val="00AE4DC5"/>
    <w:rsid w:val="00AF1A35"/>
    <w:rsid w:val="00AF2F5A"/>
    <w:rsid w:val="00AF3F3B"/>
    <w:rsid w:val="00AF5AED"/>
    <w:rsid w:val="00AF748A"/>
    <w:rsid w:val="00B00895"/>
    <w:rsid w:val="00B01039"/>
    <w:rsid w:val="00B01B23"/>
    <w:rsid w:val="00B03229"/>
    <w:rsid w:val="00B0395B"/>
    <w:rsid w:val="00B04C4B"/>
    <w:rsid w:val="00B10C1C"/>
    <w:rsid w:val="00B119A8"/>
    <w:rsid w:val="00B12F45"/>
    <w:rsid w:val="00B14E8A"/>
    <w:rsid w:val="00B150BA"/>
    <w:rsid w:val="00B153A2"/>
    <w:rsid w:val="00B15730"/>
    <w:rsid w:val="00B15DBF"/>
    <w:rsid w:val="00B1729B"/>
    <w:rsid w:val="00B22035"/>
    <w:rsid w:val="00B2612F"/>
    <w:rsid w:val="00B26A25"/>
    <w:rsid w:val="00B3182C"/>
    <w:rsid w:val="00B322BF"/>
    <w:rsid w:val="00B34949"/>
    <w:rsid w:val="00B37B56"/>
    <w:rsid w:val="00B424FD"/>
    <w:rsid w:val="00B44A91"/>
    <w:rsid w:val="00B4753E"/>
    <w:rsid w:val="00B51294"/>
    <w:rsid w:val="00B57B09"/>
    <w:rsid w:val="00B57D11"/>
    <w:rsid w:val="00B61459"/>
    <w:rsid w:val="00B669AA"/>
    <w:rsid w:val="00B7016D"/>
    <w:rsid w:val="00B70EF7"/>
    <w:rsid w:val="00B743F4"/>
    <w:rsid w:val="00B80622"/>
    <w:rsid w:val="00B834B9"/>
    <w:rsid w:val="00B84B5A"/>
    <w:rsid w:val="00B853EF"/>
    <w:rsid w:val="00B9045C"/>
    <w:rsid w:val="00B97712"/>
    <w:rsid w:val="00BA147A"/>
    <w:rsid w:val="00BA1800"/>
    <w:rsid w:val="00BA431C"/>
    <w:rsid w:val="00BA49FA"/>
    <w:rsid w:val="00BA798A"/>
    <w:rsid w:val="00BA7EAF"/>
    <w:rsid w:val="00BB006A"/>
    <w:rsid w:val="00BB082F"/>
    <w:rsid w:val="00BB1095"/>
    <w:rsid w:val="00BB2FBD"/>
    <w:rsid w:val="00BB659F"/>
    <w:rsid w:val="00BB7087"/>
    <w:rsid w:val="00BC0FA6"/>
    <w:rsid w:val="00BC1649"/>
    <w:rsid w:val="00BC4131"/>
    <w:rsid w:val="00BC4271"/>
    <w:rsid w:val="00BC73B2"/>
    <w:rsid w:val="00BD305F"/>
    <w:rsid w:val="00BD4B32"/>
    <w:rsid w:val="00BD72F0"/>
    <w:rsid w:val="00BE03EA"/>
    <w:rsid w:val="00BE10C9"/>
    <w:rsid w:val="00BE4B79"/>
    <w:rsid w:val="00BE5169"/>
    <w:rsid w:val="00BE57AF"/>
    <w:rsid w:val="00BE76D5"/>
    <w:rsid w:val="00BE79DF"/>
    <w:rsid w:val="00BF0548"/>
    <w:rsid w:val="00BF0669"/>
    <w:rsid w:val="00BF0BF2"/>
    <w:rsid w:val="00BF2912"/>
    <w:rsid w:val="00BF4967"/>
    <w:rsid w:val="00C00ADF"/>
    <w:rsid w:val="00C00B1B"/>
    <w:rsid w:val="00C00CDA"/>
    <w:rsid w:val="00C0156E"/>
    <w:rsid w:val="00C05592"/>
    <w:rsid w:val="00C0677F"/>
    <w:rsid w:val="00C11635"/>
    <w:rsid w:val="00C119CF"/>
    <w:rsid w:val="00C1535B"/>
    <w:rsid w:val="00C15519"/>
    <w:rsid w:val="00C15E56"/>
    <w:rsid w:val="00C1702C"/>
    <w:rsid w:val="00C22530"/>
    <w:rsid w:val="00C23027"/>
    <w:rsid w:val="00C23F51"/>
    <w:rsid w:val="00C275EB"/>
    <w:rsid w:val="00C32BFD"/>
    <w:rsid w:val="00C338CC"/>
    <w:rsid w:val="00C342DE"/>
    <w:rsid w:val="00C360B3"/>
    <w:rsid w:val="00C36663"/>
    <w:rsid w:val="00C3745D"/>
    <w:rsid w:val="00C42318"/>
    <w:rsid w:val="00C44AD2"/>
    <w:rsid w:val="00C573B4"/>
    <w:rsid w:val="00C60127"/>
    <w:rsid w:val="00C61E61"/>
    <w:rsid w:val="00C637CE"/>
    <w:rsid w:val="00C6514B"/>
    <w:rsid w:val="00C654EE"/>
    <w:rsid w:val="00C677FB"/>
    <w:rsid w:val="00C70664"/>
    <w:rsid w:val="00C73643"/>
    <w:rsid w:val="00C74AAA"/>
    <w:rsid w:val="00C74E7D"/>
    <w:rsid w:val="00C756D2"/>
    <w:rsid w:val="00C764D1"/>
    <w:rsid w:val="00C76BBA"/>
    <w:rsid w:val="00C85985"/>
    <w:rsid w:val="00C85A9F"/>
    <w:rsid w:val="00C876C1"/>
    <w:rsid w:val="00C90254"/>
    <w:rsid w:val="00C903D3"/>
    <w:rsid w:val="00C92A82"/>
    <w:rsid w:val="00C9479E"/>
    <w:rsid w:val="00C96B31"/>
    <w:rsid w:val="00CB047F"/>
    <w:rsid w:val="00CB2953"/>
    <w:rsid w:val="00CB6D04"/>
    <w:rsid w:val="00CC0A1B"/>
    <w:rsid w:val="00CC2485"/>
    <w:rsid w:val="00CC4836"/>
    <w:rsid w:val="00CC4943"/>
    <w:rsid w:val="00CC52E8"/>
    <w:rsid w:val="00CC6E0F"/>
    <w:rsid w:val="00CD2396"/>
    <w:rsid w:val="00CD544B"/>
    <w:rsid w:val="00CD6479"/>
    <w:rsid w:val="00CE027D"/>
    <w:rsid w:val="00CE2B47"/>
    <w:rsid w:val="00CE5248"/>
    <w:rsid w:val="00CE5865"/>
    <w:rsid w:val="00CF00F2"/>
    <w:rsid w:val="00CF143D"/>
    <w:rsid w:val="00CF552B"/>
    <w:rsid w:val="00CF71A3"/>
    <w:rsid w:val="00D008AC"/>
    <w:rsid w:val="00D00D06"/>
    <w:rsid w:val="00D01A29"/>
    <w:rsid w:val="00D056C4"/>
    <w:rsid w:val="00D16A2E"/>
    <w:rsid w:val="00D1725B"/>
    <w:rsid w:val="00D210B5"/>
    <w:rsid w:val="00D21391"/>
    <w:rsid w:val="00D21F6E"/>
    <w:rsid w:val="00D240C4"/>
    <w:rsid w:val="00D27CAF"/>
    <w:rsid w:val="00D31B78"/>
    <w:rsid w:val="00D33DDA"/>
    <w:rsid w:val="00D35495"/>
    <w:rsid w:val="00D363EE"/>
    <w:rsid w:val="00D3643C"/>
    <w:rsid w:val="00D37823"/>
    <w:rsid w:val="00D42271"/>
    <w:rsid w:val="00D42DE7"/>
    <w:rsid w:val="00D42F0F"/>
    <w:rsid w:val="00D440DA"/>
    <w:rsid w:val="00D4472B"/>
    <w:rsid w:val="00D4721A"/>
    <w:rsid w:val="00D52AFE"/>
    <w:rsid w:val="00D54835"/>
    <w:rsid w:val="00D54F26"/>
    <w:rsid w:val="00D56B86"/>
    <w:rsid w:val="00D64BE0"/>
    <w:rsid w:val="00D64E78"/>
    <w:rsid w:val="00D70882"/>
    <w:rsid w:val="00D71D80"/>
    <w:rsid w:val="00D72867"/>
    <w:rsid w:val="00D74EDA"/>
    <w:rsid w:val="00D762F6"/>
    <w:rsid w:val="00D76414"/>
    <w:rsid w:val="00D76490"/>
    <w:rsid w:val="00D77A25"/>
    <w:rsid w:val="00D81C76"/>
    <w:rsid w:val="00D90AB2"/>
    <w:rsid w:val="00D92818"/>
    <w:rsid w:val="00D93617"/>
    <w:rsid w:val="00D94CBF"/>
    <w:rsid w:val="00D95941"/>
    <w:rsid w:val="00D96182"/>
    <w:rsid w:val="00D96464"/>
    <w:rsid w:val="00D972F8"/>
    <w:rsid w:val="00DA13E1"/>
    <w:rsid w:val="00DA2A4F"/>
    <w:rsid w:val="00DB0CFC"/>
    <w:rsid w:val="00DB0D26"/>
    <w:rsid w:val="00DB43C8"/>
    <w:rsid w:val="00DB567B"/>
    <w:rsid w:val="00DB5F71"/>
    <w:rsid w:val="00DC5A12"/>
    <w:rsid w:val="00DD2FD2"/>
    <w:rsid w:val="00DD35C2"/>
    <w:rsid w:val="00DD725A"/>
    <w:rsid w:val="00DD7744"/>
    <w:rsid w:val="00DE0645"/>
    <w:rsid w:val="00DE0AD1"/>
    <w:rsid w:val="00DE6087"/>
    <w:rsid w:val="00DE638B"/>
    <w:rsid w:val="00DF057D"/>
    <w:rsid w:val="00DF1DF7"/>
    <w:rsid w:val="00DF38BA"/>
    <w:rsid w:val="00DF4280"/>
    <w:rsid w:val="00DF46DE"/>
    <w:rsid w:val="00E010AB"/>
    <w:rsid w:val="00E011C6"/>
    <w:rsid w:val="00E04EDA"/>
    <w:rsid w:val="00E05FED"/>
    <w:rsid w:val="00E10E12"/>
    <w:rsid w:val="00E10E56"/>
    <w:rsid w:val="00E110C7"/>
    <w:rsid w:val="00E118CF"/>
    <w:rsid w:val="00E1360F"/>
    <w:rsid w:val="00E137AE"/>
    <w:rsid w:val="00E15E5E"/>
    <w:rsid w:val="00E165AF"/>
    <w:rsid w:val="00E1728B"/>
    <w:rsid w:val="00E219C8"/>
    <w:rsid w:val="00E228C5"/>
    <w:rsid w:val="00E234DA"/>
    <w:rsid w:val="00E2374A"/>
    <w:rsid w:val="00E2469E"/>
    <w:rsid w:val="00E25E4F"/>
    <w:rsid w:val="00E26C7D"/>
    <w:rsid w:val="00E27671"/>
    <w:rsid w:val="00E33D60"/>
    <w:rsid w:val="00E36212"/>
    <w:rsid w:val="00E3689D"/>
    <w:rsid w:val="00E406AC"/>
    <w:rsid w:val="00E42769"/>
    <w:rsid w:val="00E42EFE"/>
    <w:rsid w:val="00E44735"/>
    <w:rsid w:val="00E44D33"/>
    <w:rsid w:val="00E45BDD"/>
    <w:rsid w:val="00E55938"/>
    <w:rsid w:val="00E63727"/>
    <w:rsid w:val="00E63AC5"/>
    <w:rsid w:val="00E64AD3"/>
    <w:rsid w:val="00E66BAC"/>
    <w:rsid w:val="00E70168"/>
    <w:rsid w:val="00E7257C"/>
    <w:rsid w:val="00E72E3E"/>
    <w:rsid w:val="00E77ECD"/>
    <w:rsid w:val="00E80E5B"/>
    <w:rsid w:val="00E85E90"/>
    <w:rsid w:val="00E870E6"/>
    <w:rsid w:val="00E87B1F"/>
    <w:rsid w:val="00E976F3"/>
    <w:rsid w:val="00EA5187"/>
    <w:rsid w:val="00EA5F46"/>
    <w:rsid w:val="00EA64CB"/>
    <w:rsid w:val="00EA7487"/>
    <w:rsid w:val="00EB1311"/>
    <w:rsid w:val="00EB1A27"/>
    <w:rsid w:val="00EB1BD3"/>
    <w:rsid w:val="00EB4EC5"/>
    <w:rsid w:val="00EB770D"/>
    <w:rsid w:val="00EC1986"/>
    <w:rsid w:val="00EC258E"/>
    <w:rsid w:val="00EC31B4"/>
    <w:rsid w:val="00EC3482"/>
    <w:rsid w:val="00EC3E5B"/>
    <w:rsid w:val="00EC46F7"/>
    <w:rsid w:val="00EC4D8A"/>
    <w:rsid w:val="00EC5455"/>
    <w:rsid w:val="00EC7894"/>
    <w:rsid w:val="00ED12CE"/>
    <w:rsid w:val="00ED6C10"/>
    <w:rsid w:val="00ED7D30"/>
    <w:rsid w:val="00EE0C6F"/>
    <w:rsid w:val="00EE628B"/>
    <w:rsid w:val="00EE6B19"/>
    <w:rsid w:val="00EE7FBA"/>
    <w:rsid w:val="00EF198D"/>
    <w:rsid w:val="00EF4DAD"/>
    <w:rsid w:val="00EF634C"/>
    <w:rsid w:val="00EF71AE"/>
    <w:rsid w:val="00F04C99"/>
    <w:rsid w:val="00F05525"/>
    <w:rsid w:val="00F06C24"/>
    <w:rsid w:val="00F11A35"/>
    <w:rsid w:val="00F12409"/>
    <w:rsid w:val="00F12FF9"/>
    <w:rsid w:val="00F15630"/>
    <w:rsid w:val="00F20A44"/>
    <w:rsid w:val="00F21752"/>
    <w:rsid w:val="00F240A4"/>
    <w:rsid w:val="00F254C0"/>
    <w:rsid w:val="00F26381"/>
    <w:rsid w:val="00F27985"/>
    <w:rsid w:val="00F27A5C"/>
    <w:rsid w:val="00F30035"/>
    <w:rsid w:val="00F30E9B"/>
    <w:rsid w:val="00F32A8F"/>
    <w:rsid w:val="00F32F66"/>
    <w:rsid w:val="00F3487A"/>
    <w:rsid w:val="00F353B0"/>
    <w:rsid w:val="00F40B6B"/>
    <w:rsid w:val="00F43409"/>
    <w:rsid w:val="00F43A0A"/>
    <w:rsid w:val="00F46E43"/>
    <w:rsid w:val="00F53D85"/>
    <w:rsid w:val="00F54539"/>
    <w:rsid w:val="00F5478C"/>
    <w:rsid w:val="00F571B1"/>
    <w:rsid w:val="00F61AFC"/>
    <w:rsid w:val="00F61BF4"/>
    <w:rsid w:val="00F648D1"/>
    <w:rsid w:val="00F6628B"/>
    <w:rsid w:val="00F7001A"/>
    <w:rsid w:val="00F70EA2"/>
    <w:rsid w:val="00F71FB0"/>
    <w:rsid w:val="00F7207D"/>
    <w:rsid w:val="00F72579"/>
    <w:rsid w:val="00F731C5"/>
    <w:rsid w:val="00F767A6"/>
    <w:rsid w:val="00F76FA5"/>
    <w:rsid w:val="00F770DC"/>
    <w:rsid w:val="00F81684"/>
    <w:rsid w:val="00F85C81"/>
    <w:rsid w:val="00F872A4"/>
    <w:rsid w:val="00F944E8"/>
    <w:rsid w:val="00F9597F"/>
    <w:rsid w:val="00FA0FB9"/>
    <w:rsid w:val="00FA1686"/>
    <w:rsid w:val="00FA2D08"/>
    <w:rsid w:val="00FA3C13"/>
    <w:rsid w:val="00FA4A7C"/>
    <w:rsid w:val="00FA5683"/>
    <w:rsid w:val="00FA5E42"/>
    <w:rsid w:val="00FA6E7E"/>
    <w:rsid w:val="00FA73C5"/>
    <w:rsid w:val="00FB004C"/>
    <w:rsid w:val="00FB2E69"/>
    <w:rsid w:val="00FB5329"/>
    <w:rsid w:val="00FB5B43"/>
    <w:rsid w:val="00FB5F0B"/>
    <w:rsid w:val="00FC0BB1"/>
    <w:rsid w:val="00FC18DB"/>
    <w:rsid w:val="00FC2367"/>
    <w:rsid w:val="00FC5EA5"/>
    <w:rsid w:val="00FC6CA5"/>
    <w:rsid w:val="00FD293D"/>
    <w:rsid w:val="00FD7BAC"/>
    <w:rsid w:val="00FE36EB"/>
    <w:rsid w:val="00FE7509"/>
    <w:rsid w:val="00FF0A21"/>
    <w:rsid w:val="00FF150D"/>
    <w:rsid w:val="00FF5631"/>
    <w:rsid w:val="00FF573A"/>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customStyle="1" w:styleId="Menzionenonrisolta2">
    <w:name w:val="Menzione non risolta2"/>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en-GB"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GB"/>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309639-3F2D-49F0-8745-000EA288FE79}">
  <ds:schemaRefs>
    <ds:schemaRef ds:uri="http://schemas.openxmlformats.org/officeDocument/2006/bibliography"/>
  </ds:schemaRefs>
</ds:datastoreItem>
</file>

<file path=customXml/itemProps2.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3.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6D5043-5574-4D6B-836A-D637DB1ED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608</Words>
  <Characters>3469</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13</cp:revision>
  <cp:lastPrinted>2022-09-14T16:46:00Z</cp:lastPrinted>
  <dcterms:created xsi:type="dcterms:W3CDTF">2023-02-09T12:03:00Z</dcterms:created>
  <dcterms:modified xsi:type="dcterms:W3CDTF">2023-02-15T16:39:00Z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